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52" w:rsidRDefault="00371152" w:rsidP="007117E1">
      <w:pPr>
        <w:spacing w:after="0" w:line="360" w:lineRule="auto"/>
        <w:jc w:val="both"/>
        <w:rPr>
          <w:rFonts w:ascii="Sylfaen" w:hAnsi="Sylfaen"/>
          <w:sz w:val="24"/>
          <w:szCs w:val="24"/>
        </w:rPr>
      </w:pPr>
    </w:p>
    <w:p w:rsidR="00371152" w:rsidRPr="000B09E7" w:rsidRDefault="00371152" w:rsidP="007117E1">
      <w:pPr>
        <w:spacing w:after="0" w:line="360" w:lineRule="auto"/>
        <w:jc w:val="both"/>
        <w:rPr>
          <w:rFonts w:ascii="Sylfaen" w:hAnsi="Sylfaen"/>
          <w:b/>
          <w:sz w:val="24"/>
          <w:szCs w:val="24"/>
          <w:u w:val="single"/>
        </w:rPr>
      </w:pPr>
      <w:r w:rsidRPr="000B09E7">
        <w:rPr>
          <w:rFonts w:ascii="Sylfaen" w:hAnsi="Sylfaen"/>
          <w:b/>
          <w:sz w:val="24"/>
          <w:szCs w:val="24"/>
          <w:u w:val="single"/>
        </w:rPr>
        <w:t xml:space="preserve">Social </w:t>
      </w:r>
      <w:r w:rsidR="000B09E7" w:rsidRPr="000B09E7">
        <w:rPr>
          <w:rFonts w:ascii="Sylfaen" w:hAnsi="Sylfaen"/>
          <w:b/>
          <w:sz w:val="24"/>
          <w:szCs w:val="24"/>
          <w:u w:val="single"/>
        </w:rPr>
        <w:t>Protection</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The introduction of modern technologies is one of the important components for maintaining the sustainability and accessibility of the social protection system for Georgia.</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The main target mechanism for governmental assistance to poor households in Georgia is the “Targeted Social Assistance Program”.</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Georgia has introduced a methodology for assessing the socio-economic situation of the household, the so-called "PMT formula", which according to the given rating score, defines the "welfare index" of the household using different variables.</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In particular, assigning a rating score to each family is a complex procedure and depends on various variables. In a special form document - the data recorded in the family declaration undergoes technical processing through a computer program and on the basis of the data recorded in it, using the "Methodology for assessing the socio-economic status of socially vulnerable families (households)" a family rating score is obtained.</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Therefore, the rating score is an aggregate of all the data reflected in the declaration and only one or a few variables couldn’t determine the rating score.</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Consequently, it is important that the rating score is calculated using digital technologies and human factor is not involved in this process.</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The need of using the digital services was best highlighted at the beginning of the pandemic period. Consequently, it was decided that citizens would be able to resolve a number of administrative issues using electronic services. Among them, citizens can apply to the administrative body - LEPL Social Service Agency for a pension, targeted social assistance or other social program for vulnerable groups.</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 xml:space="preserve">It should be noted, that a number of measures have been planned and implemented to mitigate the damage caused by the global pandemic. Among them, a "Conceptual Framework Document for Remote Delivery of Social Rehabilitation Services for Children with Disabilities, Developmental Disabilities and / or Children under 18 with such a risk" was developed for </w:t>
      </w:r>
      <w:r w:rsidRPr="007117E1">
        <w:rPr>
          <w:rFonts w:ascii="Sylfaen" w:hAnsi="Sylfaen"/>
          <w:sz w:val="24"/>
          <w:szCs w:val="24"/>
        </w:rPr>
        <w:lastRenderedPageBreak/>
        <w:t>vulnerable groups, and social services for beneficiaries continued to be provided remotely, using various electronic platforms.</w:t>
      </w:r>
    </w:p>
    <w:p w:rsidR="007117E1" w:rsidRPr="007117E1" w:rsidRDefault="007117E1" w:rsidP="007117E1">
      <w:pPr>
        <w:spacing w:after="0" w:line="360" w:lineRule="auto"/>
        <w:jc w:val="both"/>
        <w:rPr>
          <w:rFonts w:ascii="Sylfaen" w:hAnsi="Sylfaen"/>
          <w:sz w:val="24"/>
          <w:szCs w:val="24"/>
        </w:rPr>
      </w:pPr>
    </w:p>
    <w:p w:rsidR="007117E1" w:rsidRPr="007117E1" w:rsidRDefault="007117E1" w:rsidP="007117E1">
      <w:pPr>
        <w:spacing w:after="0" w:line="360" w:lineRule="auto"/>
        <w:jc w:val="both"/>
        <w:rPr>
          <w:rFonts w:ascii="Sylfaen" w:hAnsi="Sylfaen"/>
          <w:sz w:val="24"/>
          <w:szCs w:val="24"/>
        </w:rPr>
      </w:pPr>
    </w:p>
    <w:p w:rsidR="007117E1" w:rsidRPr="000B09E7" w:rsidRDefault="007117E1" w:rsidP="007117E1">
      <w:pPr>
        <w:spacing w:after="0" w:line="360" w:lineRule="auto"/>
        <w:jc w:val="both"/>
        <w:rPr>
          <w:rFonts w:ascii="Sylfaen" w:hAnsi="Sylfaen"/>
          <w:b/>
          <w:sz w:val="24"/>
          <w:szCs w:val="24"/>
          <w:u w:val="single"/>
        </w:rPr>
      </w:pPr>
      <w:r w:rsidRPr="000B09E7">
        <w:rPr>
          <w:rFonts w:ascii="Sylfaen" w:hAnsi="Sylfaen"/>
          <w:b/>
          <w:sz w:val="24"/>
          <w:szCs w:val="24"/>
          <w:u w:val="single"/>
        </w:rPr>
        <w:t>Employment policy</w:t>
      </w:r>
    </w:p>
    <w:p w:rsidR="009A7EB0" w:rsidRPr="007117E1" w:rsidRDefault="009A7EB0" w:rsidP="007117E1">
      <w:pPr>
        <w:spacing w:after="0" w:line="360" w:lineRule="auto"/>
        <w:jc w:val="both"/>
        <w:rPr>
          <w:rFonts w:ascii="Sylfaen" w:hAnsi="Sylfaen"/>
          <w:sz w:val="24"/>
          <w:szCs w:val="24"/>
        </w:rPr>
      </w:pP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 xml:space="preserve">The promotion of employment and an active </w:t>
      </w:r>
      <w:proofErr w:type="spellStart"/>
      <w:r w:rsidRPr="007117E1">
        <w:rPr>
          <w:rFonts w:ascii="Sylfaen" w:hAnsi="Sylfaen"/>
          <w:sz w:val="24"/>
          <w:szCs w:val="24"/>
        </w:rPr>
        <w:t>labour</w:t>
      </w:r>
      <w:proofErr w:type="spellEnd"/>
      <w:r w:rsidRPr="007117E1">
        <w:rPr>
          <w:rFonts w:ascii="Sylfaen" w:hAnsi="Sylfaen"/>
          <w:sz w:val="24"/>
          <w:szCs w:val="24"/>
        </w:rPr>
        <w:t xml:space="preserve"> market policy (ALMP) as a measure to promote employment are one of the top priorities of the Georgian Government. The Government of Georgia has been implementing an ALMP since 2015, which includes training and retraining – that is, human capacity development according to </w:t>
      </w:r>
      <w:proofErr w:type="spellStart"/>
      <w:r w:rsidRPr="007117E1">
        <w:rPr>
          <w:rFonts w:ascii="Sylfaen" w:hAnsi="Sylfaen"/>
          <w:sz w:val="24"/>
          <w:szCs w:val="24"/>
        </w:rPr>
        <w:t>labour</w:t>
      </w:r>
      <w:proofErr w:type="spellEnd"/>
      <w:r w:rsidRPr="007117E1">
        <w:rPr>
          <w:rFonts w:ascii="Sylfaen" w:hAnsi="Sylfaen"/>
          <w:sz w:val="24"/>
          <w:szCs w:val="24"/>
        </w:rPr>
        <w:t xml:space="preserve"> market demand (supportive employment) – as well as employment support for vulnerable and less competitive groups, vocational counselling consultations and career guidance, among other measures. In order for the Government to promote employment of Georgian citizens, especially “hard to employ” groups, including youth, LEPL State Employment Support Agency (SESA) was established in October 2019. The purpose of the Agency is to promote employment of Georgian population. The Agency will provide </w:t>
      </w:r>
      <w:proofErr w:type="spellStart"/>
      <w:r w:rsidRPr="007117E1">
        <w:rPr>
          <w:rFonts w:ascii="Sylfaen" w:hAnsi="Sylfaen"/>
          <w:sz w:val="24"/>
          <w:szCs w:val="24"/>
        </w:rPr>
        <w:t>labour</w:t>
      </w:r>
      <w:proofErr w:type="spellEnd"/>
      <w:r w:rsidRPr="007117E1">
        <w:rPr>
          <w:rFonts w:ascii="Sylfaen" w:hAnsi="Sylfaen"/>
          <w:sz w:val="24"/>
          <w:szCs w:val="24"/>
        </w:rPr>
        <w:t xml:space="preserve"> market services, including:</w:t>
      </w:r>
    </w:p>
    <w:p w:rsidR="000B09E7" w:rsidRDefault="007117E1" w:rsidP="007117E1">
      <w:pPr>
        <w:pStyle w:val="ListParagraph"/>
        <w:numPr>
          <w:ilvl w:val="0"/>
          <w:numId w:val="2"/>
        </w:numPr>
        <w:spacing w:after="0" w:line="360" w:lineRule="auto"/>
        <w:jc w:val="both"/>
        <w:rPr>
          <w:rFonts w:ascii="Sylfaen" w:hAnsi="Sylfaen"/>
          <w:sz w:val="24"/>
          <w:szCs w:val="24"/>
        </w:rPr>
      </w:pPr>
      <w:r w:rsidRPr="000B09E7">
        <w:rPr>
          <w:rFonts w:ascii="Sylfaen" w:hAnsi="Sylfaen"/>
          <w:sz w:val="24"/>
          <w:szCs w:val="24"/>
        </w:rPr>
        <w:t xml:space="preserve">Implementation of the active </w:t>
      </w:r>
      <w:proofErr w:type="spellStart"/>
      <w:r w:rsidRPr="000B09E7">
        <w:rPr>
          <w:rFonts w:ascii="Sylfaen" w:hAnsi="Sylfaen"/>
          <w:sz w:val="24"/>
          <w:szCs w:val="24"/>
        </w:rPr>
        <w:t>labour</w:t>
      </w:r>
      <w:proofErr w:type="spellEnd"/>
      <w:r w:rsidRPr="000B09E7">
        <w:rPr>
          <w:rFonts w:ascii="Sylfaen" w:hAnsi="Sylfaen"/>
          <w:sz w:val="24"/>
          <w:szCs w:val="24"/>
        </w:rPr>
        <w:t xml:space="preserve"> market policy measures;</w:t>
      </w:r>
    </w:p>
    <w:p w:rsidR="000B09E7" w:rsidRDefault="007117E1" w:rsidP="007117E1">
      <w:pPr>
        <w:pStyle w:val="ListParagraph"/>
        <w:numPr>
          <w:ilvl w:val="0"/>
          <w:numId w:val="2"/>
        </w:numPr>
        <w:spacing w:after="0" w:line="360" w:lineRule="auto"/>
        <w:jc w:val="both"/>
        <w:rPr>
          <w:rFonts w:ascii="Sylfaen" w:hAnsi="Sylfaen"/>
          <w:sz w:val="24"/>
          <w:szCs w:val="24"/>
        </w:rPr>
      </w:pPr>
      <w:r w:rsidRPr="000B09E7">
        <w:rPr>
          <w:rFonts w:ascii="Sylfaen" w:hAnsi="Sylfaen"/>
          <w:sz w:val="24"/>
          <w:szCs w:val="24"/>
        </w:rPr>
        <w:t>Providing intermediary services;</w:t>
      </w:r>
    </w:p>
    <w:p w:rsidR="000B09E7" w:rsidRDefault="007117E1" w:rsidP="007117E1">
      <w:pPr>
        <w:pStyle w:val="ListParagraph"/>
        <w:numPr>
          <w:ilvl w:val="0"/>
          <w:numId w:val="2"/>
        </w:numPr>
        <w:spacing w:after="0" w:line="360" w:lineRule="auto"/>
        <w:jc w:val="both"/>
        <w:rPr>
          <w:rFonts w:ascii="Sylfaen" w:hAnsi="Sylfaen"/>
          <w:sz w:val="24"/>
          <w:szCs w:val="24"/>
        </w:rPr>
      </w:pPr>
      <w:r w:rsidRPr="000B09E7">
        <w:rPr>
          <w:rFonts w:ascii="Sylfaen" w:hAnsi="Sylfaen"/>
          <w:sz w:val="24"/>
          <w:szCs w:val="24"/>
        </w:rPr>
        <w:t xml:space="preserve">Registering job seekers and vacancies and for this purpose administration of the </w:t>
      </w:r>
      <w:proofErr w:type="spellStart"/>
      <w:r w:rsidRPr="000B09E7">
        <w:rPr>
          <w:rFonts w:ascii="Sylfaen" w:hAnsi="Sylfaen"/>
          <w:sz w:val="24"/>
          <w:szCs w:val="24"/>
        </w:rPr>
        <w:t>labour</w:t>
      </w:r>
      <w:proofErr w:type="spellEnd"/>
      <w:r w:rsidRPr="000B09E7">
        <w:rPr>
          <w:rFonts w:ascii="Sylfaen" w:hAnsi="Sylfaen"/>
          <w:sz w:val="24"/>
          <w:szCs w:val="24"/>
        </w:rPr>
        <w:t xml:space="preserve"> market information management system;</w:t>
      </w:r>
    </w:p>
    <w:p w:rsidR="007117E1" w:rsidRPr="000B09E7" w:rsidRDefault="007117E1" w:rsidP="007117E1">
      <w:pPr>
        <w:pStyle w:val="ListParagraph"/>
        <w:numPr>
          <w:ilvl w:val="0"/>
          <w:numId w:val="2"/>
        </w:numPr>
        <w:spacing w:after="0" w:line="360" w:lineRule="auto"/>
        <w:jc w:val="both"/>
        <w:rPr>
          <w:rFonts w:ascii="Sylfaen" w:hAnsi="Sylfaen"/>
          <w:sz w:val="24"/>
          <w:szCs w:val="24"/>
        </w:rPr>
      </w:pPr>
      <w:r w:rsidRPr="000B09E7">
        <w:rPr>
          <w:rFonts w:ascii="Sylfaen" w:hAnsi="Sylfaen"/>
          <w:sz w:val="24"/>
          <w:szCs w:val="24"/>
        </w:rPr>
        <w:t xml:space="preserve">Collecting and analyzing statistical information on the </w:t>
      </w:r>
      <w:proofErr w:type="spellStart"/>
      <w:r w:rsidRPr="000B09E7">
        <w:rPr>
          <w:rFonts w:ascii="Sylfaen" w:hAnsi="Sylfaen"/>
          <w:sz w:val="24"/>
          <w:szCs w:val="24"/>
        </w:rPr>
        <w:t>labour</w:t>
      </w:r>
      <w:proofErr w:type="spellEnd"/>
      <w:r w:rsidRPr="000B09E7">
        <w:rPr>
          <w:rFonts w:ascii="Sylfaen" w:hAnsi="Sylfaen"/>
          <w:sz w:val="24"/>
          <w:szCs w:val="24"/>
        </w:rPr>
        <w:t xml:space="preserve"> force.</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 xml:space="preserve">The Agency will be identifying and analyzing ongoing and prospective trends of supply-demand in the Georgian </w:t>
      </w:r>
      <w:proofErr w:type="spellStart"/>
      <w:r w:rsidRPr="007117E1">
        <w:rPr>
          <w:rFonts w:ascii="Sylfaen" w:hAnsi="Sylfaen"/>
          <w:sz w:val="24"/>
          <w:szCs w:val="24"/>
        </w:rPr>
        <w:t>labour</w:t>
      </w:r>
      <w:proofErr w:type="spellEnd"/>
      <w:r w:rsidRPr="007117E1">
        <w:rPr>
          <w:rFonts w:ascii="Sylfaen" w:hAnsi="Sylfaen"/>
          <w:sz w:val="24"/>
          <w:szCs w:val="24"/>
        </w:rPr>
        <w:t xml:space="preserve"> market, developing temporary, legal employment opportunities (circular </w:t>
      </w:r>
      <w:proofErr w:type="spellStart"/>
      <w:r w:rsidRPr="007117E1">
        <w:rPr>
          <w:rFonts w:ascii="Sylfaen" w:hAnsi="Sylfaen"/>
          <w:sz w:val="24"/>
          <w:szCs w:val="24"/>
        </w:rPr>
        <w:t>labour</w:t>
      </w:r>
      <w:proofErr w:type="spellEnd"/>
      <w:r w:rsidRPr="007117E1">
        <w:rPr>
          <w:rFonts w:ascii="Sylfaen" w:hAnsi="Sylfaen"/>
          <w:sz w:val="24"/>
          <w:szCs w:val="24"/>
        </w:rPr>
        <w:t xml:space="preserve"> migration) of Georgian citizens abroad.  The functions of the Agency also include implementation of the state employment programs, cooperation with employers, employers' organizations and private employment agencies to effectively provide intermediary, information and advisory services to the job seekers. </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lastRenderedPageBreak/>
        <w:t xml:space="preserve">National Strategy of </w:t>
      </w:r>
      <w:proofErr w:type="spellStart"/>
      <w:r w:rsidRPr="007117E1">
        <w:rPr>
          <w:rFonts w:ascii="Sylfaen" w:hAnsi="Sylfaen"/>
          <w:sz w:val="24"/>
          <w:szCs w:val="24"/>
        </w:rPr>
        <w:t>Labour</w:t>
      </w:r>
      <w:proofErr w:type="spellEnd"/>
      <w:r w:rsidRPr="007117E1">
        <w:rPr>
          <w:rFonts w:ascii="Sylfaen" w:hAnsi="Sylfaen"/>
          <w:sz w:val="24"/>
          <w:szCs w:val="24"/>
        </w:rPr>
        <w:t xml:space="preserve"> and Employment Policy 2019-2023 and its Action Plan 2019-2021, which represents the vision of the Government of Georgia on systemic and strategic reforms and measures to be implemented over 5 years in the field of </w:t>
      </w:r>
      <w:proofErr w:type="spellStart"/>
      <w:r w:rsidRPr="007117E1">
        <w:rPr>
          <w:rFonts w:ascii="Sylfaen" w:hAnsi="Sylfaen"/>
          <w:sz w:val="24"/>
          <w:szCs w:val="24"/>
        </w:rPr>
        <w:t>labour</w:t>
      </w:r>
      <w:proofErr w:type="spellEnd"/>
      <w:r w:rsidRPr="007117E1">
        <w:rPr>
          <w:rFonts w:ascii="Sylfaen" w:hAnsi="Sylfaen"/>
          <w:sz w:val="24"/>
          <w:szCs w:val="24"/>
        </w:rPr>
        <w:t xml:space="preserve"> and employment, determines youth as one of the main target group. </w:t>
      </w:r>
    </w:p>
    <w:p w:rsidR="007117E1" w:rsidRPr="007117E1" w:rsidRDefault="007117E1" w:rsidP="007117E1">
      <w:pPr>
        <w:spacing w:after="0" w:line="360" w:lineRule="auto"/>
        <w:jc w:val="both"/>
        <w:rPr>
          <w:rFonts w:ascii="Sylfaen" w:hAnsi="Sylfaen"/>
          <w:sz w:val="24"/>
          <w:szCs w:val="24"/>
        </w:rPr>
      </w:pPr>
      <w:r w:rsidRPr="007117E1">
        <w:rPr>
          <w:rFonts w:ascii="Sylfaen" w:hAnsi="Sylfaen"/>
          <w:sz w:val="24"/>
          <w:szCs w:val="24"/>
        </w:rPr>
        <w:t xml:space="preserve">Apart from that, a legal framework promoting systematic and consistent approach to employment policy was developed. On July 1 2020, Parliament of Georgia adopted a Law of Georgia on Employment Promotion that regulates work of state institutions related to employment promotion, responsible institutions, forms of employment and employment promotion measures, etc. </w:t>
      </w:r>
    </w:p>
    <w:p w:rsidR="00371152" w:rsidRDefault="007117E1" w:rsidP="007117E1">
      <w:pPr>
        <w:spacing w:after="0" w:line="360" w:lineRule="auto"/>
        <w:jc w:val="both"/>
        <w:rPr>
          <w:rFonts w:ascii="Sylfaen" w:hAnsi="Sylfaen"/>
          <w:sz w:val="24"/>
          <w:szCs w:val="24"/>
        </w:rPr>
      </w:pPr>
      <w:r w:rsidRPr="007117E1">
        <w:rPr>
          <w:rFonts w:ascii="Sylfaen" w:hAnsi="Sylfaen"/>
          <w:sz w:val="24"/>
          <w:szCs w:val="24"/>
        </w:rPr>
        <w:t xml:space="preserve">Government of Georgia once again reiterates its readiness to direct all efforts to promote employment of Georgian citizens and decent working conditions for all men and women. </w:t>
      </w:r>
      <w:bookmarkStart w:id="0" w:name="_GoBack"/>
      <w:bookmarkEnd w:id="0"/>
    </w:p>
    <w:p w:rsidR="00371152" w:rsidRPr="000B09E7" w:rsidRDefault="00371152" w:rsidP="007117E1">
      <w:pPr>
        <w:spacing w:after="0" w:line="360" w:lineRule="auto"/>
        <w:jc w:val="both"/>
        <w:rPr>
          <w:rFonts w:ascii="Sylfaen" w:hAnsi="Sylfaen"/>
          <w:b/>
          <w:sz w:val="24"/>
          <w:szCs w:val="24"/>
          <w:u w:val="single"/>
        </w:rPr>
      </w:pPr>
      <w:r w:rsidRPr="000B09E7">
        <w:rPr>
          <w:rFonts w:ascii="Sylfaen" w:hAnsi="Sylfaen"/>
          <w:b/>
          <w:sz w:val="24"/>
          <w:szCs w:val="24"/>
          <w:u w:val="single"/>
        </w:rPr>
        <w:t>Health care</w:t>
      </w:r>
    </w:p>
    <w:p w:rsidR="00CD25E5" w:rsidRPr="000B09E7" w:rsidRDefault="00781B03" w:rsidP="00781B03">
      <w:pPr>
        <w:spacing w:after="0" w:line="360" w:lineRule="auto"/>
        <w:jc w:val="both"/>
        <w:rPr>
          <w:rFonts w:ascii="Sylfaen" w:hAnsi="Sylfaen"/>
          <w:sz w:val="24"/>
          <w:szCs w:val="24"/>
        </w:rPr>
      </w:pPr>
      <w:r w:rsidRPr="001B5A39">
        <w:rPr>
          <w:rFonts w:ascii="Sylfaen" w:hAnsi="Sylfaen"/>
          <w:sz w:val="24"/>
          <w:szCs w:val="24"/>
        </w:rPr>
        <w:t>Improving the health of the population for everyone and everywhere is a top priority for the country by accelerating appropriate, accessible, affordable, scalable and sustainable person centric digital health solutions. Digital transformation of health care can be disruptive to prevent, detect and respond to epidemics and pandemics, developing infrastructure and applications that enable country to use health data to promote health and wellbeing, and to achieve the health-related Sustainable Development Goal.</w:t>
      </w:r>
    </w:p>
    <w:p w:rsidR="00A57201" w:rsidRPr="001B5A39" w:rsidRDefault="00CD25E5" w:rsidP="007117E1">
      <w:pPr>
        <w:spacing w:after="0" w:line="360" w:lineRule="auto"/>
        <w:jc w:val="both"/>
        <w:rPr>
          <w:rFonts w:ascii="Sylfaen" w:hAnsi="Sylfaen"/>
          <w:sz w:val="24"/>
          <w:szCs w:val="24"/>
        </w:rPr>
      </w:pPr>
      <w:r w:rsidRPr="001B5A39">
        <w:rPr>
          <w:rFonts w:ascii="Sylfaen" w:hAnsi="Sylfaen"/>
          <w:sz w:val="24"/>
          <w:szCs w:val="24"/>
        </w:rPr>
        <w:t>The Ministry of Health is implementing a project to introduce digital health system with financial and technical support of the Delegation of the European Union and UN agencies to minimize the coronavirus outbreak impact on people’s health and to ensure access to medical services in highland and remote areas through quality telemedicine services.</w:t>
      </w:r>
    </w:p>
    <w:p w:rsidR="008B12DF" w:rsidRDefault="008B12DF" w:rsidP="008B12DF">
      <w:pPr>
        <w:spacing w:after="0" w:line="360" w:lineRule="auto"/>
        <w:jc w:val="both"/>
        <w:rPr>
          <w:rFonts w:ascii="Sylfaen" w:hAnsi="Sylfaen"/>
          <w:sz w:val="24"/>
          <w:szCs w:val="24"/>
        </w:rPr>
      </w:pPr>
      <w:r>
        <w:rPr>
          <w:rFonts w:ascii="Sylfaen" w:hAnsi="Sylfaen"/>
          <w:sz w:val="24"/>
          <w:szCs w:val="24"/>
        </w:rPr>
        <w:t>T</w:t>
      </w:r>
      <w:r w:rsidRPr="008B12DF">
        <w:rPr>
          <w:rFonts w:ascii="Sylfaen" w:hAnsi="Sylfaen"/>
          <w:sz w:val="24"/>
          <w:szCs w:val="24"/>
        </w:rPr>
        <w:t>he project inc</w:t>
      </w:r>
      <w:r>
        <w:rPr>
          <w:rFonts w:ascii="Sylfaen" w:hAnsi="Sylfaen"/>
          <w:sz w:val="24"/>
          <w:szCs w:val="24"/>
        </w:rPr>
        <w:t xml:space="preserve">ludes the following activities: </w:t>
      </w:r>
      <w:r w:rsidRPr="008B12DF">
        <w:rPr>
          <w:rFonts w:ascii="Sylfaen" w:hAnsi="Sylfaen"/>
          <w:sz w:val="24"/>
          <w:szCs w:val="24"/>
        </w:rPr>
        <w:t>Procurement of basic equipment and furniture for 300 village ambulatories, recently refurbished / built by the government</w:t>
      </w:r>
      <w:r>
        <w:rPr>
          <w:rFonts w:ascii="Sylfaen" w:hAnsi="Sylfaen"/>
          <w:sz w:val="24"/>
          <w:szCs w:val="24"/>
        </w:rPr>
        <w:t>; procurement</w:t>
      </w:r>
      <w:r w:rsidRPr="008B12DF">
        <w:rPr>
          <w:rFonts w:ascii="Sylfaen" w:hAnsi="Sylfaen"/>
          <w:sz w:val="24"/>
          <w:szCs w:val="24"/>
        </w:rPr>
        <w:t xml:space="preserve"> of telemedicine equipment for 50 remote sites</w:t>
      </w:r>
      <w:r>
        <w:rPr>
          <w:rFonts w:ascii="Sylfaen" w:hAnsi="Sylfaen"/>
          <w:sz w:val="24"/>
          <w:szCs w:val="24"/>
        </w:rPr>
        <w:t>; d</w:t>
      </w:r>
      <w:r w:rsidRPr="008B12DF">
        <w:rPr>
          <w:rFonts w:ascii="Sylfaen" w:hAnsi="Sylfaen"/>
          <w:sz w:val="24"/>
          <w:szCs w:val="24"/>
        </w:rPr>
        <w:t>evelopment and implementation of an online training / communication platform for primary care providers</w:t>
      </w:r>
      <w:r>
        <w:rPr>
          <w:rFonts w:ascii="Sylfaen" w:hAnsi="Sylfaen"/>
          <w:sz w:val="24"/>
          <w:szCs w:val="24"/>
        </w:rPr>
        <w:t>; b</w:t>
      </w:r>
      <w:r w:rsidRPr="008B12DF">
        <w:rPr>
          <w:rFonts w:ascii="Sylfaen" w:hAnsi="Sylfaen"/>
          <w:sz w:val="24"/>
          <w:szCs w:val="24"/>
        </w:rPr>
        <w:t xml:space="preserve">uilding information system for effective COVID 19 surveillance, data management and contact tracing (software </w:t>
      </w:r>
      <w:r w:rsidRPr="008B12DF">
        <w:rPr>
          <w:rFonts w:ascii="Sylfaen" w:hAnsi="Sylfaen"/>
          <w:sz w:val="24"/>
          <w:szCs w:val="24"/>
        </w:rPr>
        <w:lastRenderedPageBreak/>
        <w:t>development and capacity building)</w:t>
      </w:r>
      <w:r>
        <w:rPr>
          <w:rFonts w:ascii="Sylfaen" w:hAnsi="Sylfaen"/>
          <w:sz w:val="24"/>
          <w:szCs w:val="24"/>
        </w:rPr>
        <w:t xml:space="preserve">; </w:t>
      </w:r>
      <w:r w:rsidRPr="008B12DF">
        <w:rPr>
          <w:rFonts w:ascii="Sylfaen" w:hAnsi="Sylfaen"/>
          <w:sz w:val="24"/>
          <w:szCs w:val="24"/>
        </w:rPr>
        <w:t>Amendment / development of relevant legislation and development of public health and emergency response</w:t>
      </w:r>
      <w:r>
        <w:rPr>
          <w:rFonts w:ascii="Sylfaen" w:hAnsi="Sylfaen"/>
          <w:sz w:val="24"/>
          <w:szCs w:val="24"/>
        </w:rPr>
        <w:t xml:space="preserve">; </w:t>
      </w:r>
      <w:r w:rsidRPr="008B12DF">
        <w:rPr>
          <w:rFonts w:ascii="Sylfaen" w:hAnsi="Sylfaen"/>
          <w:sz w:val="24"/>
          <w:szCs w:val="24"/>
        </w:rPr>
        <w:t>Raising awareness on prevention of COVID-19 and determinants of susceptibility for severe infection (comorbidity, mental health, and socioeconomic factors), including health promotion and education</w:t>
      </w:r>
      <w:r>
        <w:rPr>
          <w:rFonts w:ascii="Sylfaen" w:hAnsi="Sylfaen"/>
          <w:sz w:val="24"/>
          <w:szCs w:val="24"/>
        </w:rPr>
        <w:t>.</w:t>
      </w:r>
    </w:p>
    <w:p w:rsidR="008B12DF" w:rsidRPr="008B12DF" w:rsidRDefault="008B12DF" w:rsidP="008B12DF">
      <w:pPr>
        <w:spacing w:after="0" w:line="360" w:lineRule="auto"/>
        <w:jc w:val="both"/>
        <w:rPr>
          <w:rFonts w:ascii="Sylfaen" w:hAnsi="Sylfaen"/>
          <w:sz w:val="24"/>
          <w:szCs w:val="24"/>
        </w:rPr>
      </w:pPr>
      <w:r w:rsidRPr="001B5A39">
        <w:rPr>
          <w:rFonts w:ascii="Sylfaen" w:hAnsi="Sylfaen"/>
          <w:sz w:val="24"/>
          <w:szCs w:val="24"/>
          <w:lang w:val="ka-GE"/>
        </w:rPr>
        <w:t>After the completion of the project, will be</w:t>
      </w:r>
      <w:r w:rsidRPr="001B5A39">
        <w:rPr>
          <w:rFonts w:ascii="Sylfaen" w:hAnsi="Sylfaen"/>
          <w:sz w:val="24"/>
          <w:szCs w:val="24"/>
        </w:rPr>
        <w:t>:</w:t>
      </w:r>
      <w:r>
        <w:rPr>
          <w:rFonts w:ascii="Sylfaen" w:hAnsi="Sylfaen"/>
          <w:sz w:val="24"/>
          <w:szCs w:val="24"/>
        </w:rPr>
        <w:t xml:space="preserve"> </w:t>
      </w:r>
      <w:r w:rsidRPr="008B12DF">
        <w:rPr>
          <w:rFonts w:ascii="Sylfaen" w:hAnsi="Sylfaen"/>
          <w:sz w:val="24"/>
          <w:szCs w:val="24"/>
          <w:lang w:val="ka-GE"/>
        </w:rPr>
        <w:t>strengthened echnical capacities, notably through provision of telemedicine equipment and equitable access to telemedicine service, to effectively prevent, prepare for, detect and respond to the novel coronavirus epidemic</w:t>
      </w:r>
      <w:r>
        <w:rPr>
          <w:rFonts w:ascii="Sylfaen" w:hAnsi="Sylfaen"/>
          <w:sz w:val="24"/>
          <w:szCs w:val="24"/>
          <w:lang w:val="ka-GE"/>
        </w:rPr>
        <w:t xml:space="preserve">; </w:t>
      </w:r>
      <w:bookmarkStart w:id="1" w:name="_Hlk35772979"/>
      <w:r w:rsidRPr="001B5A39">
        <w:rPr>
          <w:rFonts w:ascii="Sylfaen" w:hAnsi="Sylfaen" w:cstheme="minorHAnsi"/>
          <w:bCs/>
        </w:rPr>
        <w:t xml:space="preserve">Promote telemedicine solutions, through training, communication and legislative amendments, to enable better, more effective and coordinated </w:t>
      </w:r>
      <w:bookmarkEnd w:id="1"/>
      <w:r w:rsidRPr="001B5A39">
        <w:rPr>
          <w:rFonts w:ascii="Sylfaen" w:hAnsi="Sylfaen" w:cstheme="minorHAnsi"/>
          <w:bCs/>
        </w:rPr>
        <w:t>response to COVID-19</w:t>
      </w:r>
      <w:r>
        <w:rPr>
          <w:rFonts w:ascii="Sylfaen" w:hAnsi="Sylfaen" w:cstheme="minorHAnsi"/>
          <w:bCs/>
        </w:rPr>
        <w:t xml:space="preserve">; </w:t>
      </w:r>
      <w:r w:rsidRPr="001B5A39">
        <w:rPr>
          <w:rFonts w:ascii="Sylfaen" w:hAnsi="Sylfaen" w:cstheme="minorHAnsi"/>
        </w:rPr>
        <w:t>Increase public awareness on prevention of COVID-19 and telemedicine solutions</w:t>
      </w:r>
      <w:r>
        <w:rPr>
          <w:rFonts w:ascii="Sylfaen" w:hAnsi="Sylfaen" w:cstheme="minorHAnsi"/>
        </w:rPr>
        <w:t>.</w:t>
      </w:r>
    </w:p>
    <w:p w:rsidR="008B12DF" w:rsidRPr="008B12DF" w:rsidRDefault="008B12DF" w:rsidP="008B12DF">
      <w:pPr>
        <w:spacing w:after="0" w:line="360" w:lineRule="auto"/>
        <w:jc w:val="both"/>
        <w:rPr>
          <w:rFonts w:ascii="Sylfaen" w:hAnsi="Sylfaen"/>
          <w:sz w:val="24"/>
          <w:szCs w:val="24"/>
        </w:rPr>
      </w:pPr>
    </w:p>
    <w:sectPr w:rsidR="008B12DF" w:rsidRPr="008B1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5617E"/>
    <w:multiLevelType w:val="hybridMultilevel"/>
    <w:tmpl w:val="B12A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331E41"/>
    <w:multiLevelType w:val="hybridMultilevel"/>
    <w:tmpl w:val="D18A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D3"/>
    <w:rsid w:val="000B09E7"/>
    <w:rsid w:val="001B5A39"/>
    <w:rsid w:val="00371152"/>
    <w:rsid w:val="007117E1"/>
    <w:rsid w:val="00781B03"/>
    <w:rsid w:val="008B12DF"/>
    <w:rsid w:val="008E7E3E"/>
    <w:rsid w:val="00920BF9"/>
    <w:rsid w:val="00936BC1"/>
    <w:rsid w:val="009A7EB0"/>
    <w:rsid w:val="00A57201"/>
    <w:rsid w:val="00A945D3"/>
    <w:rsid w:val="00CD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E90F"/>
  <w15:chartTrackingRefBased/>
  <w15:docId w15:val="{2F8536DD-7363-4818-9F0A-AAEFE4C6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A39"/>
    <w:pPr>
      <w:ind w:left="720"/>
      <w:contextualSpacing/>
    </w:pPr>
  </w:style>
  <w:style w:type="table" w:styleId="TableGrid">
    <w:name w:val="Table Grid"/>
    <w:basedOn w:val="TableNormal"/>
    <w:uiPriority w:val="59"/>
    <w:rsid w:val="001B5A3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A335D-FDE1-4F7B-B4C6-B6C66087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Beridze</dc:creator>
  <cp:keywords/>
  <dc:description/>
  <cp:lastModifiedBy>Maia Nikoleishvili</cp:lastModifiedBy>
  <cp:revision>2</cp:revision>
  <dcterms:created xsi:type="dcterms:W3CDTF">2021-02-01T11:06:00Z</dcterms:created>
  <dcterms:modified xsi:type="dcterms:W3CDTF">2021-02-01T11:06:00Z</dcterms:modified>
</cp:coreProperties>
</file>