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44829" w14:textId="5C9D6D48" w:rsidR="004B564A" w:rsidRPr="006119F8" w:rsidRDefault="003607D8" w:rsidP="004B564A">
      <w:pPr>
        <w:spacing w:after="0"/>
        <w:rPr>
          <w:rFonts w:eastAsia="Times New Roman" w:cs="Calibri"/>
          <w:b/>
          <w:noProof/>
          <w:color w:val="2E74B5" w:themeColor="accent1" w:themeShade="BF"/>
          <w:sz w:val="28"/>
          <w:szCs w:val="28"/>
          <w:u w:val="single"/>
        </w:rPr>
      </w:pPr>
      <w:r>
        <w:rPr>
          <w:rFonts w:eastAsia="Times New Roman" w:cs="Calibri"/>
          <w:b/>
          <w:noProof/>
          <w:color w:val="2E74B5" w:themeColor="accent1" w:themeShade="BF"/>
          <w:sz w:val="28"/>
          <w:szCs w:val="28"/>
          <w:u w:val="single"/>
        </w:rPr>
        <w:t>COVID-19 გადაუდებელი დახმარების პროექტი</w:t>
      </w:r>
      <w:r w:rsidR="004B564A" w:rsidRPr="006119F8">
        <w:rPr>
          <w:rFonts w:eastAsia="Times New Roman" w:cs="Calibri"/>
          <w:b/>
          <w:noProof/>
          <w:color w:val="2E74B5" w:themeColor="accent1" w:themeShade="BF"/>
          <w:sz w:val="28"/>
          <w:szCs w:val="28"/>
          <w:u w:val="single"/>
        </w:rPr>
        <w:t xml:space="preserve">  </w:t>
      </w:r>
    </w:p>
    <w:p w14:paraId="7F57BDB9" w14:textId="77777777" w:rsidR="006F0575" w:rsidRPr="00F87A1B" w:rsidRDefault="006F0575" w:rsidP="004B564A">
      <w:pPr>
        <w:pStyle w:val="Heading1"/>
        <w:spacing w:before="0"/>
        <w:rPr>
          <w:rFonts w:eastAsia="Times New Roman"/>
          <w:sz w:val="22"/>
          <w:szCs w:val="22"/>
          <w:shd w:val="clear" w:color="auto" w:fill="FFFFFF"/>
        </w:rPr>
      </w:pPr>
    </w:p>
    <w:p w14:paraId="39C1F6C1" w14:textId="01132AEF" w:rsidR="0006173A" w:rsidRPr="00F87A1B" w:rsidRDefault="0006173A" w:rsidP="006F0575">
      <w:pPr>
        <w:rPr>
          <w:rFonts w:eastAsia="Times New Roman" w:cs="Arial"/>
          <w:sz w:val="22"/>
          <w:shd w:val="clear" w:color="auto" w:fill="FFFFFF"/>
        </w:rPr>
      </w:pPr>
      <w:r w:rsidRPr="00F87A1B">
        <w:rPr>
          <w:rFonts w:eastAsia="Times New Roman" w:cs="Arial"/>
          <w:sz w:val="22"/>
          <w:shd w:val="clear" w:color="auto" w:fill="FFFFFF"/>
        </w:rPr>
        <w:t>WB</w:t>
      </w:r>
      <w:r w:rsidR="003607D8">
        <w:rPr>
          <w:rFonts w:eastAsia="Times New Roman" w:cs="Arial"/>
          <w:sz w:val="22"/>
          <w:shd w:val="clear" w:color="auto" w:fill="FFFFFF"/>
        </w:rPr>
        <w:t xml:space="preserve"> (</w:t>
      </w:r>
      <w:proofErr w:type="spellStart"/>
      <w:r w:rsidR="003607D8">
        <w:rPr>
          <w:rFonts w:eastAsia="Times New Roman" w:cs="Arial"/>
          <w:sz w:val="22"/>
          <w:shd w:val="clear" w:color="auto" w:fill="FFFFFF"/>
        </w:rPr>
        <w:t>იანვარი</w:t>
      </w:r>
      <w:proofErr w:type="spellEnd"/>
      <w:r w:rsidR="00A83962" w:rsidRPr="00F87A1B">
        <w:rPr>
          <w:rFonts w:eastAsia="Times New Roman" w:cs="Arial"/>
          <w:sz w:val="22"/>
          <w:shd w:val="clear" w:color="auto" w:fill="FFFFFF"/>
        </w:rPr>
        <w:t>, 2021)</w:t>
      </w:r>
      <w:r w:rsidRPr="00F87A1B">
        <w:rPr>
          <w:rFonts w:eastAsia="Times New Roman" w:cs="Arial"/>
          <w:sz w:val="22"/>
          <w:shd w:val="clear" w:color="auto" w:fill="FFFFFF"/>
        </w:rPr>
        <w:t xml:space="preserve">: </w:t>
      </w:r>
    </w:p>
    <w:tbl>
      <w:tblPr>
        <w:tblW w:w="4040" w:type="dxa"/>
        <w:tblLook w:val="04A0" w:firstRow="1" w:lastRow="0" w:firstColumn="1" w:lastColumn="0" w:noHBand="0" w:noVBand="1"/>
      </w:tblPr>
      <w:tblGrid>
        <w:gridCol w:w="2020"/>
        <w:gridCol w:w="2020"/>
      </w:tblGrid>
      <w:tr w:rsidR="0006173A" w:rsidRPr="00F87A1B" w14:paraId="6499B394" w14:textId="77777777" w:rsidTr="0006173A">
        <w:trPr>
          <w:trHeight w:val="28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42958" w14:textId="1A7E8AFE" w:rsidR="0006173A" w:rsidRPr="00F87A1B" w:rsidRDefault="003607D8" w:rsidP="00061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პროექტი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ka-GE"/>
              </w:rPr>
              <w:t>თ განსაზღვრული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ka-GE"/>
              </w:rPr>
              <w:t>თანხა</w:t>
            </w:r>
            <w:r w:rsidR="00A83962" w:rsidRPr="00F87A1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EUR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1000" w14:textId="5621C1DF" w:rsidR="0006173A" w:rsidRPr="00F87A1B" w:rsidRDefault="003607D8" w:rsidP="00061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ka-GE"/>
              </w:rPr>
              <w:t>ჩამორიცხული</w:t>
            </w:r>
            <w:r w:rsidR="00A83962" w:rsidRPr="00F87A1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EUR</w:t>
            </w:r>
          </w:p>
        </w:tc>
      </w:tr>
      <w:tr w:rsidR="0006173A" w:rsidRPr="00F87A1B" w14:paraId="6D5C3285" w14:textId="77777777" w:rsidTr="0006173A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B611" w14:textId="77777777" w:rsidR="0006173A" w:rsidRPr="00F87A1B" w:rsidRDefault="0006173A" w:rsidP="00061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87A1B">
              <w:rPr>
                <w:rFonts w:ascii="Calibri" w:eastAsia="Times New Roman" w:hAnsi="Calibri" w:cs="Calibri"/>
                <w:color w:val="000000"/>
                <w:sz w:val="22"/>
              </w:rPr>
              <w:t>73,100,000.00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78C7" w14:textId="77777777" w:rsidR="0006173A" w:rsidRPr="00F87A1B" w:rsidRDefault="0006173A" w:rsidP="00061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87A1B">
              <w:rPr>
                <w:rFonts w:ascii="Calibri" w:eastAsia="Times New Roman" w:hAnsi="Calibri" w:cs="Calibri"/>
                <w:color w:val="000000"/>
                <w:sz w:val="22"/>
              </w:rPr>
              <w:t>50,105,786.51</w:t>
            </w:r>
          </w:p>
        </w:tc>
      </w:tr>
    </w:tbl>
    <w:p w14:paraId="34BC0D7C" w14:textId="77777777" w:rsidR="0006173A" w:rsidRPr="00F87A1B" w:rsidRDefault="0006173A" w:rsidP="006F0575">
      <w:pPr>
        <w:rPr>
          <w:rFonts w:asciiTheme="majorHAnsi" w:eastAsia="Times New Roman" w:hAnsiTheme="majorHAnsi" w:cstheme="majorBidi"/>
          <w:color w:val="2E74B5" w:themeColor="accent1" w:themeShade="BF"/>
          <w:sz w:val="22"/>
          <w:shd w:val="clear" w:color="auto" w:fill="FFFFFF"/>
        </w:rPr>
      </w:pPr>
    </w:p>
    <w:p w14:paraId="050B1C6B" w14:textId="11342388" w:rsidR="0006173A" w:rsidRPr="00F87A1B" w:rsidRDefault="0006173A" w:rsidP="006F0575">
      <w:pPr>
        <w:rPr>
          <w:rFonts w:eastAsia="Times New Roman" w:cs="Arial"/>
          <w:sz w:val="22"/>
          <w:shd w:val="clear" w:color="auto" w:fill="FFFFFF"/>
        </w:rPr>
      </w:pPr>
      <w:r w:rsidRPr="00F87A1B">
        <w:rPr>
          <w:rFonts w:eastAsia="Times New Roman" w:cs="Arial"/>
          <w:sz w:val="22"/>
          <w:shd w:val="clear" w:color="auto" w:fill="FFFFFF"/>
        </w:rPr>
        <w:t>AIIB</w:t>
      </w:r>
      <w:r w:rsidR="003607D8">
        <w:rPr>
          <w:rFonts w:eastAsia="Times New Roman" w:cs="Arial"/>
          <w:sz w:val="22"/>
          <w:shd w:val="clear" w:color="auto" w:fill="FFFFFF"/>
        </w:rPr>
        <w:t xml:space="preserve"> (</w:t>
      </w:r>
      <w:proofErr w:type="spellStart"/>
      <w:r w:rsidR="003607D8">
        <w:rPr>
          <w:rFonts w:eastAsia="Times New Roman" w:cs="Arial"/>
          <w:sz w:val="22"/>
          <w:shd w:val="clear" w:color="auto" w:fill="FFFFFF"/>
        </w:rPr>
        <w:t>იანვარი</w:t>
      </w:r>
      <w:proofErr w:type="spellEnd"/>
      <w:r w:rsidR="00A83962" w:rsidRPr="00F87A1B">
        <w:rPr>
          <w:rFonts w:eastAsia="Times New Roman" w:cs="Arial"/>
          <w:sz w:val="22"/>
          <w:shd w:val="clear" w:color="auto" w:fill="FFFFFF"/>
        </w:rPr>
        <w:t>, 2021)</w:t>
      </w:r>
      <w:r w:rsidRPr="00F87A1B">
        <w:rPr>
          <w:rFonts w:eastAsia="Times New Roman" w:cs="Arial"/>
          <w:sz w:val="22"/>
          <w:shd w:val="clear" w:color="auto" w:fill="FFFFFF"/>
        </w:rPr>
        <w:t xml:space="preserve">: </w:t>
      </w:r>
    </w:p>
    <w:tbl>
      <w:tblPr>
        <w:tblW w:w="4040" w:type="dxa"/>
        <w:tblLook w:val="04A0" w:firstRow="1" w:lastRow="0" w:firstColumn="1" w:lastColumn="0" w:noHBand="0" w:noVBand="1"/>
      </w:tblPr>
      <w:tblGrid>
        <w:gridCol w:w="2020"/>
        <w:gridCol w:w="2020"/>
      </w:tblGrid>
      <w:tr w:rsidR="0006173A" w:rsidRPr="00F87A1B" w14:paraId="4CE07862" w14:textId="77777777" w:rsidTr="0006173A">
        <w:trPr>
          <w:trHeight w:val="28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F299" w14:textId="09B3BC16" w:rsidR="0006173A" w:rsidRPr="00F87A1B" w:rsidRDefault="00A83962" w:rsidP="00061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87A1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3607D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ka-GE"/>
              </w:rPr>
              <w:t>პროექტით განსაზღვრული თანხა</w:t>
            </w:r>
            <w:r w:rsidRPr="00F87A1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EUR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EAB59" w14:textId="1289F028" w:rsidR="0006173A" w:rsidRPr="00F87A1B" w:rsidRDefault="003607D8" w:rsidP="00061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ka-GE"/>
              </w:rPr>
              <w:t>ჩამორიცხული</w:t>
            </w:r>
            <w:r w:rsidR="00A83962" w:rsidRPr="00F87A1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EUR</w:t>
            </w:r>
          </w:p>
        </w:tc>
      </w:tr>
      <w:tr w:rsidR="0006173A" w:rsidRPr="00F87A1B" w14:paraId="0E823871" w14:textId="77777777" w:rsidTr="0006173A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5A90" w14:textId="77777777" w:rsidR="0006173A" w:rsidRPr="00F87A1B" w:rsidRDefault="0006173A" w:rsidP="00061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87A1B">
              <w:rPr>
                <w:rFonts w:ascii="Calibri" w:eastAsia="Times New Roman" w:hAnsi="Calibri" w:cs="Calibri"/>
                <w:color w:val="000000"/>
                <w:sz w:val="22"/>
              </w:rPr>
              <w:t>91,340,000.00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4F5B" w14:textId="77777777" w:rsidR="0006173A" w:rsidRPr="00F87A1B" w:rsidRDefault="0006173A" w:rsidP="00061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87A1B">
              <w:rPr>
                <w:rFonts w:ascii="Calibri" w:eastAsia="Times New Roman" w:hAnsi="Calibri" w:cs="Calibri"/>
                <w:color w:val="000000"/>
                <w:sz w:val="22"/>
              </w:rPr>
              <w:t>61,500,590.18</w:t>
            </w:r>
          </w:p>
        </w:tc>
      </w:tr>
    </w:tbl>
    <w:p w14:paraId="73113210" w14:textId="77777777" w:rsidR="006F0575" w:rsidRPr="00F87A1B" w:rsidRDefault="006F0575" w:rsidP="00A37218">
      <w:pPr>
        <w:spacing w:line="257" w:lineRule="atLeast"/>
        <w:rPr>
          <w:rFonts w:eastAsia="Times New Roman" w:cs="Arial"/>
          <w:sz w:val="22"/>
          <w:shd w:val="clear" w:color="auto" w:fill="FFFFFF"/>
        </w:rPr>
      </w:pPr>
    </w:p>
    <w:p w14:paraId="019761D1" w14:textId="2BF05298" w:rsidR="003607D8" w:rsidRDefault="003607D8" w:rsidP="004B564A">
      <w:p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t>პროექტით გათვალისწინებული სტრატეგიული შესყიდვები ჯანმრთელობის სფეროში მიმდინარეობს ორი (2) ქვეკომპონენტის ფარგლებში:</w:t>
      </w:r>
      <w:r w:rsidR="00C174B6">
        <w:rPr>
          <w:rFonts w:eastAsia="Times New Roman" w:cs="Arial"/>
          <w:sz w:val="22"/>
          <w:shd w:val="clear" w:color="auto" w:fill="FFFFFF"/>
          <w:lang w:val="ka-GE"/>
        </w:rPr>
        <w:t xml:space="preserve"> </w:t>
      </w:r>
    </w:p>
    <w:p w14:paraId="7F4CEBCA" w14:textId="77777777" w:rsidR="00C174B6" w:rsidRDefault="00C174B6" w:rsidP="00C174B6">
      <w:pPr>
        <w:pStyle w:val="ListParagraph"/>
        <w:numPr>
          <w:ilvl w:val="0"/>
          <w:numId w:val="32"/>
        </w:numPr>
        <w:spacing w:line="257" w:lineRule="atLeast"/>
        <w:jc w:val="both"/>
        <w:rPr>
          <w:rFonts w:eastAsia="Times New Roman" w:cs="Arial"/>
          <w:sz w:val="22"/>
          <w:shd w:val="clear" w:color="auto" w:fill="FFFFFF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t>კოვიდის შემთხვევების გამოვლენა და დადასტურება,</w:t>
      </w:r>
      <w:r>
        <w:rPr>
          <w:rFonts w:eastAsia="Times New Roman" w:cs="Arial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 w:cs="Arial"/>
          <w:sz w:val="22"/>
          <w:shd w:val="clear" w:color="auto" w:fill="FFFFFF"/>
        </w:rPr>
        <w:t>და</w:t>
      </w:r>
      <w:proofErr w:type="spellEnd"/>
      <w:r w:rsidR="00A37218" w:rsidRPr="00C174B6">
        <w:rPr>
          <w:rFonts w:eastAsia="Times New Roman" w:cs="Arial"/>
          <w:sz w:val="22"/>
          <w:shd w:val="clear" w:color="auto" w:fill="FFFFFF"/>
        </w:rPr>
        <w:t xml:space="preserve"> </w:t>
      </w:r>
      <w:r w:rsidR="00F87A1B" w:rsidRPr="00C174B6">
        <w:rPr>
          <w:rFonts w:eastAsia="Times New Roman" w:cs="Arial"/>
          <w:sz w:val="22"/>
          <w:shd w:val="clear" w:color="auto" w:fill="FFFFFF"/>
        </w:rPr>
        <w:t xml:space="preserve"> </w:t>
      </w:r>
    </w:p>
    <w:p w14:paraId="362E4FC3" w14:textId="77777777" w:rsidR="00C174B6" w:rsidRPr="00C174B6" w:rsidRDefault="00C174B6" w:rsidP="00C174B6">
      <w:pPr>
        <w:pStyle w:val="ListParagraph"/>
        <w:numPr>
          <w:ilvl w:val="0"/>
          <w:numId w:val="32"/>
        </w:numPr>
        <w:spacing w:line="257" w:lineRule="atLeast"/>
        <w:jc w:val="both"/>
        <w:rPr>
          <w:rFonts w:eastAsia="Times New Roman" w:cs="Arial"/>
          <w:sz w:val="22"/>
          <w:shd w:val="clear" w:color="auto" w:fill="FFFFFF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t>ჯანდაცვის სისტემის გაძლიერება კოვიდის მართვის მიზნით</w:t>
      </w:r>
    </w:p>
    <w:p w14:paraId="0D9FC0A6" w14:textId="161E65C1" w:rsidR="00A37218" w:rsidRPr="00C174B6" w:rsidRDefault="00C174B6" w:rsidP="00C174B6">
      <w:pPr>
        <w:spacing w:line="257" w:lineRule="atLeast"/>
        <w:ind w:left="60"/>
        <w:jc w:val="both"/>
        <w:rPr>
          <w:rFonts w:eastAsia="Times New Roman" w:cs="Arial"/>
          <w:sz w:val="22"/>
          <w:shd w:val="clear" w:color="auto" w:fill="FFFFFF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t xml:space="preserve">ჯანდაცვის სამინისტროში ჩამოყალიბებული პროექტების განმახორციელებელი ჯგუფის (ივნისი 2020) ძალისხმევით. </w:t>
      </w:r>
      <w:r w:rsidR="00A37218" w:rsidRPr="00C174B6">
        <w:rPr>
          <w:rFonts w:eastAsia="Times New Roman" w:cs="Arial"/>
          <w:sz w:val="22"/>
          <w:shd w:val="clear" w:color="auto" w:fill="FFFFFF"/>
        </w:rPr>
        <w:t xml:space="preserve"> </w:t>
      </w:r>
    </w:p>
    <w:p w14:paraId="518AD62B" w14:textId="4B18AA3B" w:rsidR="009D227F" w:rsidRDefault="00C174B6" w:rsidP="004B564A">
      <w:pPr>
        <w:spacing w:line="257" w:lineRule="atLeast"/>
        <w:jc w:val="both"/>
        <w:rPr>
          <w:rFonts w:eastAsia="Times New Roman" w:cs="Arial"/>
          <w:sz w:val="22"/>
          <w:shd w:val="clear" w:color="auto" w:fill="FFFFFF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t>ამ სტრატეგიული ინტერვენციების პირდაპირი მოსარგებლეები არიან საზოგადოებრივი ჯანმრთელობის საკვანძო დაწესებულებები: დაავადებათა კონტროლისა და საზოგადოებრივი ჯანდაცვის ეროვნული ცენტრი, გადაუდბელი დახმარებისა და სასწრაფო დახმარების ცენტრი, სახელმწიფო სამედიცინო ჰოლდინგი, სამედიცინო და ფარმაცევტული საქმიანობის მარეგულირებელი სააგენტო, და განმრთელობის ეროვნული სააგენტო;</w:t>
      </w:r>
    </w:p>
    <w:p w14:paraId="0A488701" w14:textId="48363276" w:rsidR="00AA6964" w:rsidRPr="00C174B6" w:rsidRDefault="00C174B6" w:rsidP="00AA6964">
      <w:pPr>
        <w:spacing w:line="257" w:lineRule="atLeast"/>
        <w:jc w:val="both"/>
        <w:rPr>
          <w:rFonts w:eastAsia="Times New Roman" w:cs="Arial"/>
          <w:b/>
          <w:sz w:val="22"/>
          <w:u w:val="single"/>
          <w:shd w:val="clear" w:color="auto" w:fill="FFFFFF"/>
        </w:rPr>
      </w:pPr>
      <w:r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  <w:t>ასევე, 7 უმსხვილესი ჰოსპიტალი</w:t>
      </w:r>
      <w:r w:rsidR="004853DA"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  <w:t xml:space="preserve">, </w:t>
      </w:r>
      <w:r w:rsidR="004853DA" w:rsidRPr="004853DA"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  <w:t>რომელთა საჭიროებებზე დაყრდნობით მიმდინარეობს სამედიცინო აპარ</w:t>
      </w:r>
      <w:r w:rsidR="004853DA"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  <w:t>ატურის და აღჭურვილობის შესყიდვა</w:t>
      </w:r>
      <w:r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  <w:t>:</w:t>
      </w:r>
    </w:p>
    <w:p w14:paraId="1B6FE01F" w14:textId="269E89E2" w:rsidR="00AA6964" w:rsidRPr="00F87A1B" w:rsidRDefault="00DE2246" w:rsidP="006F0575">
      <w:pPr>
        <w:pStyle w:val="ListParagraph"/>
        <w:numPr>
          <w:ilvl w:val="0"/>
          <w:numId w:val="23"/>
        </w:num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t xml:space="preserve">&amp; 2. </w:t>
      </w:r>
      <w:r w:rsidR="00C174B6">
        <w:rPr>
          <w:rFonts w:eastAsia="Times New Roman" w:cs="Arial"/>
          <w:sz w:val="22"/>
          <w:shd w:val="clear" w:color="auto" w:fill="FFFFFF"/>
          <w:lang w:val="ka-GE"/>
        </w:rPr>
        <w:t>ნ.ყიფშიძის სახელობის ცებნტრალური საუნივერსიტეტო კლინიკა</w:t>
      </w:r>
      <w:r w:rsidR="00C174B6">
        <w:rPr>
          <w:rFonts w:eastAsia="Times New Roman" w:cs="Arial"/>
          <w:sz w:val="22"/>
          <w:shd w:val="clear" w:color="auto" w:fill="FFFFFF"/>
        </w:rPr>
        <w:t xml:space="preserve"> (</w:t>
      </w:r>
      <w:proofErr w:type="spellStart"/>
      <w:r w:rsidR="00C174B6">
        <w:rPr>
          <w:rFonts w:eastAsia="Times New Roman" w:cs="Arial"/>
          <w:sz w:val="22"/>
          <w:shd w:val="clear" w:color="auto" w:fill="FFFFFF"/>
        </w:rPr>
        <w:t>რუხი</w:t>
      </w:r>
      <w:proofErr w:type="spellEnd"/>
      <w:r w:rsidR="00C174B6">
        <w:rPr>
          <w:rFonts w:eastAsia="Times New Roman" w:cs="Arial"/>
          <w:sz w:val="22"/>
          <w:shd w:val="clear" w:color="auto" w:fill="FFFFFF"/>
        </w:rPr>
        <w:t xml:space="preserve"> </w:t>
      </w:r>
      <w:proofErr w:type="spellStart"/>
      <w:r w:rsidR="00C174B6">
        <w:rPr>
          <w:rFonts w:eastAsia="Times New Roman" w:cs="Arial"/>
          <w:sz w:val="22"/>
          <w:shd w:val="clear" w:color="auto" w:fill="FFFFFF"/>
        </w:rPr>
        <w:t>და</w:t>
      </w:r>
      <w:proofErr w:type="spellEnd"/>
      <w:r w:rsidR="00C174B6">
        <w:rPr>
          <w:rFonts w:eastAsia="Times New Roman" w:cs="Arial"/>
          <w:sz w:val="22"/>
          <w:shd w:val="clear" w:color="auto" w:fill="FFFFFF"/>
        </w:rPr>
        <w:t xml:space="preserve"> </w:t>
      </w:r>
      <w:r w:rsidR="00C174B6">
        <w:rPr>
          <w:rFonts w:eastAsia="Times New Roman" w:cs="Arial"/>
          <w:sz w:val="22"/>
          <w:shd w:val="clear" w:color="auto" w:fill="FFFFFF"/>
          <w:lang w:val="ka-GE"/>
        </w:rPr>
        <w:t>თბილისი</w:t>
      </w:r>
      <w:r w:rsidR="00AA6964" w:rsidRPr="00F87A1B">
        <w:rPr>
          <w:rFonts w:eastAsia="Times New Roman" w:cs="Arial"/>
          <w:sz w:val="22"/>
          <w:shd w:val="clear" w:color="auto" w:fill="FFFFFF"/>
          <w:lang w:val="ka-GE"/>
        </w:rPr>
        <w:t>);</w:t>
      </w:r>
    </w:p>
    <w:p w14:paraId="2DF5C5ED" w14:textId="00F29CC8" w:rsidR="00AA6964" w:rsidRPr="00DE2246" w:rsidRDefault="00DE2246" w:rsidP="00DE2246">
      <w:pPr>
        <w:pStyle w:val="ListParagraph"/>
        <w:numPr>
          <w:ilvl w:val="0"/>
          <w:numId w:val="33"/>
        </w:num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proofErr w:type="spellStart"/>
      <w:r>
        <w:rPr>
          <w:rFonts w:eastAsia="Times New Roman" w:cs="Arial"/>
          <w:sz w:val="22"/>
          <w:shd w:val="clear" w:color="auto" w:fill="FFFFFF"/>
        </w:rPr>
        <w:t>ბა</w:t>
      </w:r>
      <w:proofErr w:type="spellEnd"/>
      <w:r>
        <w:rPr>
          <w:rFonts w:eastAsia="Times New Roman" w:cs="Arial"/>
          <w:sz w:val="22"/>
          <w:shd w:val="clear" w:color="auto" w:fill="FFFFFF"/>
          <w:lang w:val="ka-GE"/>
        </w:rPr>
        <w:t>თ</w:t>
      </w:r>
      <w:proofErr w:type="spellStart"/>
      <w:r>
        <w:rPr>
          <w:rFonts w:eastAsia="Times New Roman" w:cs="Arial"/>
          <w:sz w:val="22"/>
          <w:shd w:val="clear" w:color="auto" w:fill="FFFFFF"/>
        </w:rPr>
        <w:t>უმის</w:t>
      </w:r>
      <w:proofErr w:type="spellEnd"/>
      <w:r>
        <w:rPr>
          <w:rFonts w:eastAsia="Times New Roman" w:cs="Arial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 w:cs="Arial"/>
          <w:sz w:val="22"/>
          <w:shd w:val="clear" w:color="auto" w:fill="FFFFFF"/>
        </w:rPr>
        <w:t>კლინიკური</w:t>
      </w:r>
      <w:proofErr w:type="spellEnd"/>
      <w:r>
        <w:rPr>
          <w:rFonts w:eastAsia="Times New Roman" w:cs="Arial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 w:cs="Arial"/>
          <w:sz w:val="22"/>
          <w:shd w:val="clear" w:color="auto" w:fill="FFFFFF"/>
        </w:rPr>
        <w:t>ჰოსპიტალი</w:t>
      </w:r>
      <w:proofErr w:type="spellEnd"/>
      <w:r>
        <w:rPr>
          <w:rFonts w:eastAsia="Times New Roman" w:cs="Arial"/>
          <w:sz w:val="22"/>
          <w:shd w:val="clear" w:color="auto" w:fill="FFFFFF"/>
        </w:rPr>
        <w:t xml:space="preserve"> </w:t>
      </w:r>
    </w:p>
    <w:p w14:paraId="2B14CA21" w14:textId="76171265" w:rsidR="00B90E44" w:rsidRPr="00F87A1B" w:rsidRDefault="00DE2246" w:rsidP="00DE2246">
      <w:pPr>
        <w:pStyle w:val="ListParagraph"/>
        <w:numPr>
          <w:ilvl w:val="0"/>
          <w:numId w:val="33"/>
        </w:num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t>ინფექციური დაავადებების, შიდსისა და კლინიკური იმუნოლოგიის ცენტრი, თბილისი</w:t>
      </w:r>
    </w:p>
    <w:p w14:paraId="2B91EF07" w14:textId="59EE18F2" w:rsidR="00AA6964" w:rsidRPr="00F87A1B" w:rsidRDefault="00DE2246" w:rsidP="00DE2246">
      <w:pPr>
        <w:pStyle w:val="ListParagraph"/>
        <w:numPr>
          <w:ilvl w:val="0"/>
          <w:numId w:val="33"/>
        </w:num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proofErr w:type="spellStart"/>
      <w:r>
        <w:rPr>
          <w:rFonts w:eastAsia="Times New Roman" w:cs="Arial"/>
          <w:sz w:val="22"/>
          <w:shd w:val="clear" w:color="auto" w:fill="FFFFFF"/>
        </w:rPr>
        <w:t>რეგიონული</w:t>
      </w:r>
      <w:proofErr w:type="spellEnd"/>
      <w:r>
        <w:rPr>
          <w:rFonts w:eastAsia="Times New Roman" w:cs="Arial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 w:cs="Arial"/>
          <w:sz w:val="22"/>
          <w:shd w:val="clear" w:color="auto" w:fill="FFFFFF"/>
        </w:rPr>
        <w:t>ჯანდაცვის</w:t>
      </w:r>
      <w:proofErr w:type="spellEnd"/>
      <w:r>
        <w:rPr>
          <w:rFonts w:eastAsia="Times New Roman" w:cs="Arial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 w:cs="Arial"/>
          <w:sz w:val="22"/>
          <w:shd w:val="clear" w:color="auto" w:fill="FFFFFF"/>
        </w:rPr>
        <w:t>ცენტრი</w:t>
      </w:r>
      <w:proofErr w:type="spellEnd"/>
      <w:r w:rsidR="00B90E44" w:rsidRPr="00F87A1B">
        <w:rPr>
          <w:rFonts w:eastAsia="Times New Roman" w:cs="Arial"/>
          <w:sz w:val="22"/>
          <w:shd w:val="clear" w:color="auto" w:fill="FFFFFF"/>
          <w:lang w:val="ka-GE"/>
        </w:rPr>
        <w:t xml:space="preserve"> </w:t>
      </w:r>
      <w:r w:rsidR="00AA6964" w:rsidRPr="00F87A1B">
        <w:rPr>
          <w:rFonts w:eastAsia="Times New Roman" w:cs="Arial"/>
          <w:sz w:val="22"/>
          <w:shd w:val="clear" w:color="auto" w:fill="FFFFFF"/>
          <w:lang w:val="ka-GE"/>
        </w:rPr>
        <w:t>(</w:t>
      </w:r>
      <w:proofErr w:type="spellStart"/>
      <w:r>
        <w:rPr>
          <w:rFonts w:eastAsia="Times New Roman" w:cs="Arial"/>
          <w:sz w:val="22"/>
          <w:shd w:val="clear" w:color="auto" w:fill="FFFFFF"/>
        </w:rPr>
        <w:t>ქუ</w:t>
      </w:r>
      <w:proofErr w:type="spellEnd"/>
      <w:r>
        <w:rPr>
          <w:rFonts w:eastAsia="Times New Roman" w:cs="Arial"/>
          <w:sz w:val="22"/>
          <w:shd w:val="clear" w:color="auto" w:fill="FFFFFF"/>
          <w:lang w:val="ka-GE"/>
        </w:rPr>
        <w:t>თაისი</w:t>
      </w:r>
      <w:r w:rsidR="00AA6964" w:rsidRPr="00F87A1B">
        <w:rPr>
          <w:rFonts w:eastAsia="Times New Roman" w:cs="Arial"/>
          <w:sz w:val="22"/>
          <w:shd w:val="clear" w:color="auto" w:fill="FFFFFF"/>
          <w:lang w:val="ka-GE"/>
        </w:rPr>
        <w:t>);</w:t>
      </w:r>
    </w:p>
    <w:p w14:paraId="3993B24F" w14:textId="7F02219D" w:rsidR="006F0575" w:rsidRPr="00F87A1B" w:rsidRDefault="00DE2246" w:rsidP="00DE2246">
      <w:pPr>
        <w:pStyle w:val="ListParagraph"/>
        <w:numPr>
          <w:ilvl w:val="0"/>
          <w:numId w:val="33"/>
        </w:num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t>პირველი საუნივერსიტეტო კლინიკა, თსსუ</w:t>
      </w:r>
      <w:r w:rsidR="00B90E44" w:rsidRPr="00F87A1B">
        <w:rPr>
          <w:rFonts w:eastAsia="Times New Roman" w:cs="Arial"/>
          <w:sz w:val="22"/>
          <w:shd w:val="clear" w:color="auto" w:fill="FFFFFF"/>
          <w:lang w:val="ka-GE"/>
        </w:rPr>
        <w:t>;</w:t>
      </w:r>
      <w:r>
        <w:rPr>
          <w:rFonts w:eastAsia="Times New Roman" w:cs="Arial"/>
          <w:sz w:val="22"/>
          <w:shd w:val="clear" w:color="auto" w:fill="FFFFFF"/>
        </w:rPr>
        <w:t xml:space="preserve"> </w:t>
      </w:r>
      <w:r>
        <w:rPr>
          <w:rFonts w:eastAsia="Times New Roman" w:cs="Arial"/>
          <w:sz w:val="22"/>
          <w:shd w:val="clear" w:color="auto" w:fill="FFFFFF"/>
          <w:lang w:val="ka-GE"/>
        </w:rPr>
        <w:t>თბილისი</w:t>
      </w:r>
    </w:p>
    <w:p w14:paraId="66F280CB" w14:textId="09564AD5" w:rsidR="006F0575" w:rsidRPr="00F87A1B" w:rsidRDefault="00DE2246" w:rsidP="00DE2246">
      <w:pPr>
        <w:pStyle w:val="ListParagraph"/>
        <w:numPr>
          <w:ilvl w:val="0"/>
          <w:numId w:val="33"/>
        </w:num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t>საჩხერის რეგიონული ჰოსპიტალურ-პოლიკლინიკური ცენტრი</w:t>
      </w:r>
    </w:p>
    <w:p w14:paraId="51A10390" w14:textId="77777777" w:rsidR="006F0575" w:rsidRPr="006119F8" w:rsidRDefault="006F0575" w:rsidP="006F0575">
      <w:pPr>
        <w:spacing w:line="257" w:lineRule="atLeast"/>
        <w:jc w:val="both"/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</w:pPr>
    </w:p>
    <w:p w14:paraId="7563FCFC" w14:textId="2DC21CED" w:rsidR="00F87A1B" w:rsidRPr="00DE2246" w:rsidRDefault="00DE2246" w:rsidP="006F0575">
      <w:p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  <w:t>თანამშრომლობ</w:t>
      </w:r>
      <w:r w:rsidR="004853DA"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  <w:t>ა გაეროსთან და ბანკის მიერ მართული</w:t>
      </w:r>
      <w:r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  <w:t xml:space="preserve"> შესყიდვები</w:t>
      </w:r>
      <w:r w:rsidR="004853DA"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  <w:t xml:space="preserve"> </w:t>
      </w:r>
    </w:p>
    <w:p w14:paraId="17ED3E38" w14:textId="01FD4F2D" w:rsidR="00F87A1B" w:rsidRPr="004853DA" w:rsidRDefault="00F87A1B" w:rsidP="005D4936">
      <w:pPr>
        <w:spacing w:after="0"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 w:rsidRPr="004853DA">
        <w:rPr>
          <w:rFonts w:eastAsia="Times New Roman" w:cs="Arial"/>
          <w:b/>
          <w:sz w:val="22"/>
          <w:shd w:val="clear" w:color="auto" w:fill="FFFFFF"/>
          <w:lang w:val="ka-GE"/>
        </w:rPr>
        <w:t xml:space="preserve">UNOPS </w:t>
      </w:r>
      <w:r w:rsidRPr="004853DA">
        <w:rPr>
          <w:rFonts w:eastAsia="Times New Roman" w:cs="Arial"/>
          <w:sz w:val="22"/>
          <w:shd w:val="clear" w:color="auto" w:fill="FFFFFF"/>
          <w:lang w:val="ka-GE"/>
        </w:rPr>
        <w:t xml:space="preserve">– </w:t>
      </w:r>
      <w:r w:rsidR="004853DA">
        <w:rPr>
          <w:rFonts w:eastAsia="Times New Roman" w:cs="Arial"/>
          <w:sz w:val="22"/>
          <w:shd w:val="clear" w:color="auto" w:fill="FFFFFF"/>
          <w:lang w:val="ka-GE"/>
        </w:rPr>
        <w:t>გაეროს პროექტების მომსახურების სააგენტო გლობალური გრძელვადიანი კონტრაქტებით იძენს ჰოსპიტლების აღჭურვილობას</w:t>
      </w:r>
      <w:r w:rsidR="00C02938">
        <w:rPr>
          <w:rFonts w:eastAsia="Times New Roman" w:cs="Arial"/>
          <w:sz w:val="22"/>
          <w:shd w:val="clear" w:color="auto" w:fill="FFFFFF"/>
          <w:lang w:val="ka-GE"/>
        </w:rPr>
        <w:t>, რაც მაღალი ხარისხის და შედარებით სწრაფი შესყიდვის გარანტიაა</w:t>
      </w:r>
      <w:r w:rsidR="004853DA">
        <w:rPr>
          <w:rFonts w:eastAsia="Times New Roman" w:cs="Arial"/>
          <w:sz w:val="22"/>
          <w:shd w:val="clear" w:color="auto" w:fill="FFFFFF"/>
          <w:lang w:val="ka-GE"/>
        </w:rPr>
        <w:t xml:space="preserve">, - კონტრაქტით შეთანხმებული პაკეტის </w:t>
      </w:r>
      <w:r w:rsidRPr="004853DA">
        <w:rPr>
          <w:rFonts w:eastAsia="Times New Roman" w:cs="Arial"/>
          <w:sz w:val="22"/>
          <w:shd w:val="clear" w:color="auto" w:fill="FFFFFF"/>
          <w:lang w:val="ka-GE"/>
        </w:rPr>
        <w:t>80</w:t>
      </w:r>
      <w:r w:rsidR="003F0DFC" w:rsidRPr="004853DA">
        <w:rPr>
          <w:rFonts w:eastAsia="Times New Roman" w:cs="Arial"/>
          <w:sz w:val="22"/>
          <w:shd w:val="clear" w:color="auto" w:fill="FFFFFF"/>
          <w:lang w:val="ka-GE"/>
        </w:rPr>
        <w:t xml:space="preserve">% </w:t>
      </w:r>
      <w:r w:rsidR="004853DA">
        <w:rPr>
          <w:rFonts w:eastAsia="Times New Roman" w:cs="Arial"/>
          <w:sz w:val="22"/>
          <w:shd w:val="clear" w:color="auto" w:fill="FFFFFF"/>
          <w:lang w:val="ka-GE"/>
        </w:rPr>
        <w:t xml:space="preserve">უკვე შესყიდულია. </w:t>
      </w:r>
      <w:r w:rsidRPr="004853DA">
        <w:rPr>
          <w:rFonts w:eastAsia="Times New Roman" w:cs="Arial"/>
          <w:sz w:val="22"/>
          <w:shd w:val="clear" w:color="auto" w:fill="FFFFFF"/>
          <w:lang w:val="ka-GE"/>
        </w:rPr>
        <w:t xml:space="preserve"> </w:t>
      </w:r>
    </w:p>
    <w:p w14:paraId="1CA9D792" w14:textId="68D22D8F" w:rsidR="00F87A1B" w:rsidRPr="004853DA" w:rsidRDefault="00F87A1B" w:rsidP="005D4936">
      <w:pPr>
        <w:spacing w:after="0"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 w:rsidRPr="004853DA">
        <w:rPr>
          <w:rFonts w:eastAsia="Times New Roman" w:cs="Arial"/>
          <w:b/>
          <w:sz w:val="22"/>
          <w:shd w:val="clear" w:color="auto" w:fill="FFFFFF"/>
          <w:lang w:val="ka-GE"/>
        </w:rPr>
        <w:t>UNICEF</w:t>
      </w:r>
      <w:r w:rsidRPr="004853DA">
        <w:rPr>
          <w:rFonts w:eastAsia="Times New Roman" w:cs="Arial"/>
          <w:sz w:val="22"/>
          <w:shd w:val="clear" w:color="auto" w:fill="FFFFFF"/>
          <w:lang w:val="ka-GE"/>
        </w:rPr>
        <w:t xml:space="preserve"> –</w:t>
      </w:r>
      <w:r w:rsidR="003F0DFC" w:rsidRPr="004853DA">
        <w:rPr>
          <w:rFonts w:eastAsia="Times New Roman" w:cs="Arial"/>
          <w:sz w:val="22"/>
          <w:shd w:val="clear" w:color="auto" w:fill="FFFFFF"/>
          <w:lang w:val="ka-GE"/>
        </w:rPr>
        <w:t xml:space="preserve"> </w:t>
      </w:r>
      <w:r w:rsidR="004853DA">
        <w:rPr>
          <w:rFonts w:eastAsia="Times New Roman" w:cs="Arial"/>
          <w:sz w:val="22"/>
          <w:shd w:val="clear" w:color="auto" w:fill="FFFFFF"/>
          <w:lang w:val="ka-GE"/>
        </w:rPr>
        <w:t xml:space="preserve">გაეროს ბავშვთა ფონდი ქვეყანას აწვდის </w:t>
      </w:r>
      <w:r w:rsidR="000D3FEC">
        <w:fldChar w:fldCharType="begin"/>
      </w:r>
      <w:r w:rsidR="000D3FEC" w:rsidRPr="004853DA">
        <w:rPr>
          <w:lang w:val="ka-GE"/>
        </w:rPr>
        <w:instrText xml:space="preserve"> HYPERLINK "https://www.genomeweb.com/pcr/cepheid-cre-test-could-be-useful-screening-according-international-study" </w:instrText>
      </w:r>
      <w:r w:rsidR="000D3FEC">
        <w:fldChar w:fldCharType="separate"/>
      </w:r>
      <w:r w:rsidR="003F0DFC" w:rsidRPr="004853DA">
        <w:rPr>
          <w:rFonts w:eastAsia="Times New Roman"/>
          <w:sz w:val="22"/>
          <w:shd w:val="clear" w:color="auto" w:fill="FFFFFF"/>
          <w:lang w:val="ka-GE"/>
        </w:rPr>
        <w:t>Cepheid</w:t>
      </w:r>
      <w:r w:rsidR="000D3FEC">
        <w:rPr>
          <w:rFonts w:eastAsia="Times New Roman"/>
          <w:sz w:val="22"/>
          <w:shd w:val="clear" w:color="auto" w:fill="FFFFFF"/>
        </w:rPr>
        <w:fldChar w:fldCharType="end"/>
      </w:r>
      <w:r w:rsidR="003F0DFC" w:rsidRPr="004853DA">
        <w:rPr>
          <w:rFonts w:eastAsia="Times New Roman" w:cs="Arial"/>
          <w:sz w:val="22"/>
          <w:shd w:val="clear" w:color="auto" w:fill="FFFFFF"/>
          <w:lang w:val="ka-GE"/>
        </w:rPr>
        <w:t xml:space="preserve"> </w:t>
      </w:r>
      <w:r w:rsidR="004853DA">
        <w:rPr>
          <w:rFonts w:eastAsia="Times New Roman" w:cs="Arial"/>
          <w:sz w:val="22"/>
          <w:shd w:val="clear" w:color="auto" w:fill="FFFFFF"/>
          <w:lang w:val="ka-GE"/>
        </w:rPr>
        <w:t xml:space="preserve">პისიარ ტესტებს: </w:t>
      </w:r>
      <w:r w:rsidR="003F0DFC" w:rsidRPr="004853DA">
        <w:rPr>
          <w:rFonts w:eastAsia="Times New Roman" w:cs="Arial"/>
          <w:sz w:val="22"/>
          <w:shd w:val="clear" w:color="auto" w:fill="FFFFFF"/>
          <w:lang w:val="ka-GE"/>
        </w:rPr>
        <w:t xml:space="preserve">Xpert Xpress SARS-CoV-2; </w:t>
      </w:r>
      <w:r w:rsidR="004853DA">
        <w:rPr>
          <w:rFonts w:eastAsia="Times New Roman" w:cs="Arial"/>
          <w:sz w:val="22"/>
          <w:shd w:val="clear" w:color="auto" w:fill="FFFFFF"/>
          <w:lang w:val="ka-GE"/>
        </w:rPr>
        <w:t xml:space="preserve">თუმცა არის შეფერხებები და პროცესი უფორ მეტ დროს ითხოვს. </w:t>
      </w:r>
    </w:p>
    <w:p w14:paraId="0B3579A4" w14:textId="4E6FA639" w:rsidR="00F87A1B" w:rsidRPr="004853DA" w:rsidRDefault="003F0DFC" w:rsidP="005D4936">
      <w:pPr>
        <w:spacing w:after="0"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 w:rsidRPr="004853DA">
        <w:rPr>
          <w:rFonts w:eastAsia="Times New Roman" w:cs="Arial"/>
          <w:b/>
          <w:sz w:val="22"/>
          <w:shd w:val="clear" w:color="auto" w:fill="FFFFFF"/>
          <w:lang w:val="ka-GE"/>
        </w:rPr>
        <w:t>BFP</w:t>
      </w:r>
      <w:r w:rsidRPr="004853DA">
        <w:rPr>
          <w:rFonts w:eastAsia="Times New Roman" w:cs="Arial"/>
          <w:sz w:val="22"/>
          <w:shd w:val="clear" w:color="auto" w:fill="FFFFFF"/>
          <w:lang w:val="ka-GE"/>
        </w:rPr>
        <w:t xml:space="preserve"> – </w:t>
      </w:r>
      <w:r w:rsidR="004853DA">
        <w:rPr>
          <w:rFonts w:eastAsia="Times New Roman" w:cs="Arial"/>
          <w:sz w:val="22"/>
          <w:shd w:val="clear" w:color="auto" w:fill="FFFFFF"/>
          <w:lang w:val="ka-GE"/>
        </w:rPr>
        <w:t xml:space="preserve">ბანკის მიერ მართული შესყიდვები როგორც წესი კარგი ხარისხის გარანტიაა, თუმცა აქაც, პროცესები დროში მოსალოდნელზე მეტად გახანგრძლივდა. </w:t>
      </w:r>
      <w:r w:rsidRPr="004853DA">
        <w:rPr>
          <w:rFonts w:eastAsia="Times New Roman" w:cs="Arial"/>
          <w:sz w:val="22"/>
          <w:shd w:val="clear" w:color="auto" w:fill="FFFFFF"/>
          <w:lang w:val="ka-GE"/>
        </w:rPr>
        <w:t xml:space="preserve"> </w:t>
      </w:r>
    </w:p>
    <w:p w14:paraId="56BDD2BD" w14:textId="77777777" w:rsidR="005D4936" w:rsidRPr="004853DA" w:rsidRDefault="005D4936" w:rsidP="006F0575">
      <w:p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</w:p>
    <w:p w14:paraId="4ACB9674" w14:textId="753A3B0F" w:rsidR="006F0575" w:rsidRPr="00C174B6" w:rsidRDefault="00C174B6" w:rsidP="004B564A">
      <w:pPr>
        <w:spacing w:line="257" w:lineRule="atLeast"/>
        <w:jc w:val="both"/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</w:pPr>
      <w:proofErr w:type="spellStart"/>
      <w:proofErr w:type="gramStart"/>
      <w:r>
        <w:rPr>
          <w:rFonts w:eastAsia="Times New Roman" w:cs="Arial"/>
          <w:b/>
          <w:sz w:val="22"/>
          <w:u w:val="single"/>
          <w:shd w:val="clear" w:color="auto" w:fill="FFFFFF"/>
        </w:rPr>
        <w:t>აქამდე</w:t>
      </w:r>
      <w:proofErr w:type="spellEnd"/>
      <w:proofErr w:type="gramEnd"/>
      <w:r>
        <w:rPr>
          <w:rFonts w:eastAsia="Times New Roman" w:cs="Arial"/>
          <w:b/>
          <w:sz w:val="22"/>
          <w:u w:val="single"/>
          <w:shd w:val="clear" w:color="auto" w:fill="FFFFFF"/>
        </w:rPr>
        <w:t xml:space="preserve"> </w:t>
      </w:r>
      <w:r w:rsidR="004853DA"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  <w:t>შესყიდულია ჰოსპიტლების შემდეგი აღჭურვილობა</w:t>
      </w:r>
      <w:r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  <w:t>:</w:t>
      </w:r>
    </w:p>
    <w:p w14:paraId="34B2E435" w14:textId="48983A7D" w:rsidR="00191005" w:rsidRPr="003F2D97" w:rsidRDefault="00191005" w:rsidP="004B564A">
      <w:pPr>
        <w:pStyle w:val="ListParagraph"/>
        <w:numPr>
          <w:ilvl w:val="0"/>
          <w:numId w:val="20"/>
        </w:numPr>
        <w:spacing w:line="257" w:lineRule="atLeast"/>
        <w:rPr>
          <w:rFonts w:eastAsia="Times New Roman" w:cs="Arial"/>
          <w:sz w:val="22"/>
          <w:shd w:val="clear" w:color="auto" w:fill="FFFFFF"/>
          <w:lang w:val="ka-GE"/>
        </w:rPr>
      </w:pPr>
      <w:r w:rsidRPr="003F2D97">
        <w:rPr>
          <w:rFonts w:eastAsia="Times New Roman" w:cs="Arial"/>
          <w:sz w:val="22"/>
          <w:shd w:val="clear" w:color="auto" w:fill="FFFFFF"/>
          <w:lang w:val="ka-GE"/>
        </w:rPr>
        <w:t xml:space="preserve">30 </w:t>
      </w:r>
      <w:r w:rsidR="004853DA">
        <w:rPr>
          <w:rFonts w:eastAsia="Times New Roman" w:cs="Arial"/>
          <w:sz w:val="22"/>
          <w:shd w:val="clear" w:color="auto" w:fill="FFFFFF"/>
          <w:lang w:val="ka-GE"/>
        </w:rPr>
        <w:t>ინტენსიური მოვლისა და 20 მობილური</w:t>
      </w:r>
      <w:r w:rsidR="003F2D97">
        <w:rPr>
          <w:rFonts w:eastAsia="Times New Roman" w:cs="Arial"/>
          <w:sz w:val="22"/>
          <w:shd w:val="clear" w:color="auto" w:fill="FFFFFF"/>
          <w:lang w:val="ka-GE"/>
        </w:rPr>
        <w:t>,</w:t>
      </w:r>
      <w:r w:rsidR="004853DA">
        <w:rPr>
          <w:rFonts w:eastAsia="Times New Roman" w:cs="Arial"/>
          <w:sz w:val="22"/>
          <w:shd w:val="clear" w:color="auto" w:fill="FFFFFF"/>
          <w:lang w:val="ka-GE"/>
        </w:rPr>
        <w:t xml:space="preserve"> ფილტვის ხელოვნური ვენტილაციის აპარატები, </w:t>
      </w:r>
      <w:r w:rsidRPr="003F2D97">
        <w:rPr>
          <w:rFonts w:eastAsia="Times New Roman" w:cs="Arial"/>
          <w:sz w:val="22"/>
          <w:shd w:val="clear" w:color="auto" w:fill="FFFFFF"/>
          <w:lang w:val="ka-GE"/>
        </w:rPr>
        <w:t xml:space="preserve">1 000 </w:t>
      </w:r>
      <w:r w:rsidR="004853DA">
        <w:rPr>
          <w:rFonts w:eastAsia="Times New Roman" w:cs="Arial"/>
          <w:sz w:val="22"/>
          <w:shd w:val="clear" w:color="auto" w:fill="FFFFFF"/>
          <w:lang w:val="ka-GE"/>
        </w:rPr>
        <w:t xml:space="preserve">ჯანგბადის კონცენტრატორი, </w:t>
      </w:r>
      <w:r w:rsidRPr="003F2D97">
        <w:rPr>
          <w:rFonts w:eastAsia="Times New Roman" w:cs="Arial"/>
          <w:sz w:val="22"/>
          <w:shd w:val="clear" w:color="auto" w:fill="FFFFFF"/>
          <w:lang w:val="ka-GE"/>
        </w:rPr>
        <w:t xml:space="preserve">850 </w:t>
      </w:r>
      <w:r w:rsidR="004853DA">
        <w:rPr>
          <w:rFonts w:eastAsia="Times New Roman" w:cs="Arial"/>
          <w:sz w:val="22"/>
          <w:shd w:val="clear" w:color="auto" w:fill="FFFFFF"/>
          <w:lang w:val="ka-GE"/>
        </w:rPr>
        <w:t xml:space="preserve">არა-ინვაზიური </w:t>
      </w:r>
      <w:r w:rsidR="003F2D97">
        <w:rPr>
          <w:rFonts w:eastAsia="Times New Roman" w:cs="Arial"/>
          <w:sz w:val="22"/>
          <w:shd w:val="clear" w:color="auto" w:fill="FFFFFF"/>
          <w:lang w:val="ka-GE"/>
        </w:rPr>
        <w:t xml:space="preserve">ჯანგბადის სამედიცინო მიწოდების, მათ შორის მაღალი წნევით, აპარატურა ე.წ. </w:t>
      </w:r>
      <w:r w:rsidR="003F2D97" w:rsidRPr="003F2D97">
        <w:rPr>
          <w:rFonts w:eastAsia="Times New Roman" w:cs="Arial"/>
          <w:sz w:val="22"/>
          <w:shd w:val="clear" w:color="auto" w:fill="FFFFFF"/>
          <w:lang w:val="ka-GE"/>
        </w:rPr>
        <w:t xml:space="preserve">BPAP </w:t>
      </w:r>
      <w:r w:rsidR="003F2D97">
        <w:rPr>
          <w:rFonts w:eastAsia="Times New Roman" w:cs="Arial"/>
          <w:sz w:val="22"/>
          <w:shd w:val="clear" w:color="auto" w:fill="FFFFFF"/>
          <w:lang w:val="ka-GE"/>
        </w:rPr>
        <w:t>&amp;</w:t>
      </w:r>
      <w:r w:rsidRPr="003F2D97">
        <w:rPr>
          <w:rFonts w:eastAsia="Times New Roman" w:cs="Arial"/>
          <w:sz w:val="22"/>
          <w:shd w:val="clear" w:color="auto" w:fill="FFFFFF"/>
          <w:lang w:val="ka-GE"/>
        </w:rPr>
        <w:t xml:space="preserve"> HFNC (H</w:t>
      </w:r>
      <w:r w:rsidR="003F2D97">
        <w:rPr>
          <w:rFonts w:eastAsia="Times New Roman" w:cs="Arial"/>
          <w:sz w:val="22"/>
          <w:shd w:val="clear" w:color="auto" w:fill="FFFFFF"/>
          <w:lang w:val="ka-GE"/>
        </w:rPr>
        <w:t>igh Flow Nasal Cannula)</w:t>
      </w:r>
      <w:r w:rsidRPr="003F2D97">
        <w:rPr>
          <w:rFonts w:eastAsia="Times New Roman" w:cs="Arial"/>
          <w:sz w:val="22"/>
          <w:shd w:val="clear" w:color="auto" w:fill="FFFFFF"/>
          <w:lang w:val="ka-GE"/>
        </w:rPr>
        <w:t xml:space="preserve">, </w:t>
      </w:r>
      <w:r w:rsidR="003F2D97">
        <w:rPr>
          <w:rFonts w:eastAsia="Times New Roman" w:cs="Arial"/>
          <w:sz w:val="22"/>
          <w:shd w:val="clear" w:color="auto" w:fill="FFFFFF"/>
          <w:lang w:val="ka-GE"/>
        </w:rPr>
        <w:t xml:space="preserve">ასევე, 18 000 CPAP &amp; BPAP ნიღბები - შესყიდულია და უკვე გადაუნაწილდა საპასუხო ღონისძიებებში ჩაბმულ წამყვან ჰოსპიტალურ დაწესებულებებს, ასევე ალტერნატიულ ინოვაციურ ჰოსპიტალურ სივრცეებს, </w:t>
      </w:r>
      <w:r w:rsidR="00FE2301" w:rsidRPr="003F2D97">
        <w:rPr>
          <w:rFonts w:eastAsia="Times New Roman" w:cs="Arial"/>
          <w:sz w:val="22"/>
          <w:shd w:val="clear" w:color="auto" w:fill="FFFFFF"/>
          <w:lang w:val="ka-GE"/>
        </w:rPr>
        <w:t xml:space="preserve">– </w:t>
      </w:r>
      <w:r w:rsidR="003F2D97">
        <w:rPr>
          <w:rFonts w:eastAsia="Times New Roman" w:cs="Arial"/>
          <w:sz w:val="22"/>
          <w:shd w:val="clear" w:color="auto" w:fill="FFFFFF"/>
          <w:lang w:val="ka-GE"/>
        </w:rPr>
        <w:t xml:space="preserve">ე.წ. COVID-სასტუმროებს, რომლებსაც საქართველოს სამედიცინო ჰოლდინგი განაგებს; </w:t>
      </w:r>
      <w:r w:rsidR="00D019F6" w:rsidRPr="003F2D97">
        <w:rPr>
          <w:rFonts w:eastAsia="Times New Roman" w:cs="Arial"/>
          <w:sz w:val="22"/>
          <w:shd w:val="clear" w:color="auto" w:fill="FFFFFF"/>
          <w:lang w:val="ka-GE"/>
        </w:rPr>
        <w:br/>
      </w:r>
      <w:r w:rsidR="00FE2301" w:rsidRPr="003F2D97">
        <w:rPr>
          <w:rFonts w:eastAsia="Times New Roman" w:cs="Arial"/>
          <w:sz w:val="22"/>
          <w:shd w:val="clear" w:color="auto" w:fill="FFFFFF"/>
          <w:lang w:val="ka-GE"/>
        </w:rPr>
        <w:t xml:space="preserve"> </w:t>
      </w:r>
    </w:p>
    <w:p w14:paraId="71FD29C3" w14:textId="72979C22" w:rsidR="00D019F6" w:rsidRPr="003F2D97" w:rsidRDefault="00D019F6" w:rsidP="004B564A">
      <w:pPr>
        <w:pStyle w:val="ListParagraph"/>
        <w:numPr>
          <w:ilvl w:val="0"/>
          <w:numId w:val="20"/>
        </w:numPr>
        <w:spacing w:line="257" w:lineRule="atLeast"/>
        <w:rPr>
          <w:rFonts w:eastAsia="Times New Roman" w:cs="Arial"/>
          <w:sz w:val="22"/>
          <w:shd w:val="clear" w:color="auto" w:fill="FFFFFF"/>
          <w:lang w:val="ka-GE"/>
        </w:rPr>
      </w:pPr>
      <w:r w:rsidRPr="003F2D97">
        <w:rPr>
          <w:rFonts w:eastAsia="Times New Roman" w:cs="Arial"/>
          <w:sz w:val="22"/>
          <w:shd w:val="clear" w:color="auto" w:fill="FFFFFF"/>
          <w:lang w:val="ka-GE"/>
        </w:rPr>
        <w:t xml:space="preserve">36 </w:t>
      </w:r>
      <w:r w:rsidR="003F2D97">
        <w:rPr>
          <w:rFonts w:eastAsia="Times New Roman" w:cs="Arial"/>
          <w:sz w:val="22"/>
          <w:shd w:val="clear" w:color="auto" w:fill="FFFFFF"/>
          <w:lang w:val="ka-GE"/>
        </w:rPr>
        <w:t>დიალიზის აპარატი სრული კომპლექტაციით და თანმხლები ხელსაწყოებით შესყიდულია და უკვე დამონტაჟებული 3 წამყვან ჰოპიტალურ დაწესებულ;ებაში თბილისსა და ბათუმში</w:t>
      </w:r>
      <w:r w:rsidRPr="003F2D97">
        <w:rPr>
          <w:rFonts w:eastAsia="Times New Roman" w:cs="Arial"/>
          <w:sz w:val="22"/>
          <w:shd w:val="clear" w:color="auto" w:fill="FFFFFF"/>
          <w:lang w:val="ka-GE"/>
        </w:rPr>
        <w:t>;</w:t>
      </w:r>
      <w:r w:rsidRPr="003F2D97">
        <w:rPr>
          <w:rFonts w:eastAsia="Times New Roman" w:cs="Arial"/>
          <w:sz w:val="22"/>
          <w:shd w:val="clear" w:color="auto" w:fill="FFFFFF"/>
          <w:lang w:val="ka-GE"/>
        </w:rPr>
        <w:br/>
      </w:r>
    </w:p>
    <w:p w14:paraId="043EE61B" w14:textId="5D0DE563" w:rsidR="003F0DFC" w:rsidRPr="00C02938" w:rsidRDefault="003C5440" w:rsidP="00676363">
      <w:pPr>
        <w:pStyle w:val="ListParagraph"/>
        <w:numPr>
          <w:ilvl w:val="0"/>
          <w:numId w:val="20"/>
        </w:num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 w:rsidRPr="003F2D97">
        <w:rPr>
          <w:rFonts w:eastAsia="Times New Roman" w:cs="Arial"/>
          <w:sz w:val="22"/>
          <w:shd w:val="clear" w:color="auto" w:fill="FFFFFF"/>
          <w:lang w:val="ka-GE"/>
        </w:rPr>
        <w:t xml:space="preserve">129 </w:t>
      </w:r>
      <w:r w:rsidR="003F2D97">
        <w:rPr>
          <w:rFonts w:eastAsia="Times New Roman" w:cs="Arial"/>
          <w:sz w:val="22"/>
          <w:shd w:val="clear" w:color="auto" w:fill="FFFFFF"/>
          <w:lang w:val="ka-GE"/>
        </w:rPr>
        <w:t xml:space="preserve">ელექტრო და 250 მექანიუკური საწოლი, ასევე </w:t>
      </w:r>
      <w:r w:rsidRPr="003F2D97">
        <w:rPr>
          <w:rFonts w:eastAsia="Times New Roman" w:cs="Arial"/>
          <w:sz w:val="22"/>
          <w:shd w:val="clear" w:color="auto" w:fill="FFFFFF"/>
          <w:lang w:val="ka-GE"/>
        </w:rPr>
        <w:t>5</w:t>
      </w:r>
      <w:r w:rsidRPr="00F87A1B">
        <w:rPr>
          <w:rFonts w:eastAsia="Times New Roman" w:cs="Arial"/>
          <w:sz w:val="22"/>
          <w:shd w:val="clear" w:color="auto" w:fill="FFFFFF"/>
          <w:lang w:val="ka-GE"/>
        </w:rPr>
        <w:t>5</w:t>
      </w:r>
      <w:r w:rsidRPr="003F2D97">
        <w:rPr>
          <w:rFonts w:eastAsia="Times New Roman" w:cs="Arial"/>
          <w:sz w:val="22"/>
          <w:shd w:val="clear" w:color="auto" w:fill="FFFFFF"/>
          <w:lang w:val="ka-GE"/>
        </w:rPr>
        <w:t xml:space="preserve"> </w:t>
      </w:r>
      <w:r w:rsidR="003F2D97">
        <w:rPr>
          <w:rFonts w:eastAsia="Times New Roman" w:cs="Arial"/>
          <w:sz w:val="22"/>
          <w:shd w:val="clear" w:color="auto" w:fill="FFFFFF"/>
          <w:lang w:val="ka-GE"/>
        </w:rPr>
        <w:t xml:space="preserve">ნაწოლების საწინააღმდეგო მატრასი შესყიდულია და უკვე მიეწოდა ჰოსპიტლებს თბილისსა და ბათუმში. </w:t>
      </w:r>
      <w:r w:rsidR="00BD2D66">
        <w:rPr>
          <w:rFonts w:eastAsia="Times New Roman" w:cs="Arial"/>
          <w:sz w:val="22"/>
          <w:shd w:val="clear" w:color="auto" w:fill="FFFFFF"/>
          <w:lang w:val="ka-GE"/>
        </w:rPr>
        <w:t xml:space="preserve">დაკვეთა უკვე გაფორმებულია </w:t>
      </w:r>
      <w:r w:rsidRPr="00BD2D66">
        <w:rPr>
          <w:rFonts w:eastAsia="Times New Roman" w:cs="Arial"/>
          <w:sz w:val="22"/>
          <w:shd w:val="clear" w:color="auto" w:fill="FFFFFF"/>
          <w:lang w:val="ka-GE"/>
        </w:rPr>
        <w:t xml:space="preserve">70 </w:t>
      </w:r>
      <w:r w:rsidR="00BD2D66">
        <w:rPr>
          <w:rFonts w:eastAsia="Times New Roman" w:cs="Arial"/>
          <w:sz w:val="22"/>
          <w:shd w:val="clear" w:color="auto" w:fill="FFFFFF"/>
          <w:lang w:val="ka-GE"/>
        </w:rPr>
        <w:t xml:space="preserve">სასუნთქი ნაკადის შემცველობის (flow meters) და </w:t>
      </w:r>
      <w:r w:rsidRPr="00BD2D66">
        <w:rPr>
          <w:rFonts w:eastAsia="Times New Roman" w:cs="Arial"/>
          <w:sz w:val="22"/>
          <w:shd w:val="clear" w:color="auto" w:fill="FFFFFF"/>
          <w:lang w:val="ka-GE"/>
        </w:rPr>
        <w:t xml:space="preserve">30 </w:t>
      </w:r>
      <w:r w:rsidR="00BD2D66">
        <w:rPr>
          <w:rFonts w:eastAsia="Times New Roman" w:cs="Arial"/>
          <w:sz w:val="22"/>
          <w:shd w:val="clear" w:color="auto" w:fill="FFFFFF"/>
          <w:lang w:val="ka-GE"/>
        </w:rPr>
        <w:t>პულსის პარამეტრების (</w:t>
      </w:r>
      <w:r w:rsidRPr="00BD2D66">
        <w:rPr>
          <w:rFonts w:eastAsia="Times New Roman" w:cs="Arial"/>
          <w:sz w:val="22"/>
          <w:shd w:val="clear" w:color="auto" w:fill="FFFFFF"/>
          <w:lang w:val="ka-GE"/>
        </w:rPr>
        <w:t>Pulse Oximeters</w:t>
      </w:r>
      <w:r w:rsidR="00BD2D66">
        <w:rPr>
          <w:rFonts w:eastAsia="Times New Roman" w:cs="Arial"/>
          <w:sz w:val="22"/>
          <w:shd w:val="clear" w:color="auto" w:fill="FFFFFF"/>
          <w:lang w:val="ka-GE"/>
        </w:rPr>
        <w:t xml:space="preserve">) სარეგულაციო ხელსაწყოებზე, ასევე შეძენილია </w:t>
      </w:r>
      <w:r w:rsidRPr="00C02938">
        <w:rPr>
          <w:rFonts w:eastAsia="Times New Roman" w:cs="Arial"/>
          <w:sz w:val="22"/>
          <w:shd w:val="clear" w:color="auto" w:fill="FFFFFF"/>
          <w:lang w:val="ka-GE"/>
        </w:rPr>
        <w:t xml:space="preserve">14 </w:t>
      </w:r>
      <w:r w:rsidR="00C02938">
        <w:rPr>
          <w:rFonts w:eastAsia="Times New Roman" w:cs="Arial"/>
          <w:sz w:val="22"/>
          <w:shd w:val="clear" w:color="auto" w:fill="FFFFFF"/>
          <w:lang w:val="ka-GE"/>
        </w:rPr>
        <w:t xml:space="preserve">კარდიოგრაფი, დამატებით 37 გილტვის ხელოვნური ვენტილაციის აპარატი - </w:t>
      </w:r>
      <w:r w:rsidR="00C02938" w:rsidRPr="00C02938">
        <w:rPr>
          <w:rFonts w:eastAsia="Times New Roman" w:cs="Arial"/>
          <w:sz w:val="22"/>
          <w:shd w:val="clear" w:color="auto" w:fill="FFFFFF"/>
          <w:lang w:val="ka-GE"/>
        </w:rPr>
        <w:t xml:space="preserve">UNOPS </w:t>
      </w:r>
      <w:r w:rsidR="00C02938">
        <w:rPr>
          <w:rFonts w:eastAsia="Times New Roman" w:cs="Arial"/>
          <w:sz w:val="22"/>
          <w:shd w:val="clear" w:color="auto" w:fill="FFFFFF"/>
          <w:lang w:val="ka-GE"/>
        </w:rPr>
        <w:t xml:space="preserve">ხელშეკრულებით. - ამავე ხელშეკრულებით ასევე დაწყებულია </w:t>
      </w:r>
      <w:r w:rsidRPr="00C02938">
        <w:rPr>
          <w:rFonts w:eastAsia="Times New Roman" w:cs="Arial"/>
          <w:sz w:val="22"/>
          <w:shd w:val="clear" w:color="auto" w:fill="FFFFFF"/>
          <w:lang w:val="ka-GE"/>
        </w:rPr>
        <w:t xml:space="preserve">9 </w:t>
      </w:r>
      <w:r w:rsidR="00C02938">
        <w:rPr>
          <w:rFonts w:eastAsia="Times New Roman" w:cs="Arial"/>
          <w:sz w:val="22"/>
          <w:shd w:val="clear" w:color="auto" w:fill="FFFFFF"/>
          <w:lang w:val="ka-GE"/>
        </w:rPr>
        <w:t xml:space="preserve">პორტატული ვენტილატორის, </w:t>
      </w:r>
      <w:r w:rsidRPr="00C02938">
        <w:rPr>
          <w:rFonts w:eastAsia="Times New Roman" w:cs="Arial"/>
          <w:sz w:val="22"/>
          <w:shd w:val="clear" w:color="auto" w:fill="FFFFFF"/>
          <w:lang w:val="ka-GE"/>
        </w:rPr>
        <w:t xml:space="preserve">160 </w:t>
      </w:r>
      <w:r w:rsidR="00C02938">
        <w:rPr>
          <w:rFonts w:eastAsia="Times New Roman" w:cs="Arial"/>
          <w:sz w:val="22"/>
          <w:shd w:val="clear" w:color="auto" w:fill="FFFFFF"/>
          <w:lang w:val="ka-GE"/>
        </w:rPr>
        <w:t xml:space="preserve">შპრიცისა და </w:t>
      </w:r>
      <w:r w:rsidRPr="00C02938">
        <w:rPr>
          <w:rFonts w:eastAsia="Times New Roman" w:cs="Arial"/>
          <w:sz w:val="22"/>
          <w:shd w:val="clear" w:color="auto" w:fill="FFFFFF"/>
          <w:lang w:val="ka-GE"/>
        </w:rPr>
        <w:t xml:space="preserve">27 </w:t>
      </w:r>
      <w:r w:rsidR="00C02938">
        <w:rPr>
          <w:rFonts w:eastAsia="Times New Roman" w:cs="Arial"/>
          <w:sz w:val="22"/>
          <w:shd w:val="clear" w:color="auto" w:fill="FFFFFF"/>
          <w:lang w:val="ka-GE"/>
        </w:rPr>
        <w:t xml:space="preserve">მაღალი წნევის ქირურგიული ტუმბოების შესყიდვა, რაც იანვარში მიეწოდება სამიზნე ჰოსპიტლებს. </w:t>
      </w:r>
      <w:r w:rsidRPr="00C02938">
        <w:rPr>
          <w:rFonts w:eastAsia="Times New Roman" w:cs="Arial"/>
          <w:sz w:val="22"/>
          <w:shd w:val="clear" w:color="auto" w:fill="FFFFFF"/>
          <w:lang w:val="ka-GE"/>
        </w:rPr>
        <w:t xml:space="preserve"> </w:t>
      </w:r>
    </w:p>
    <w:p w14:paraId="536DBF70" w14:textId="307EEA18" w:rsidR="00217C96" w:rsidRDefault="00C02938" w:rsidP="00217C96">
      <w:pPr>
        <w:spacing w:line="257" w:lineRule="atLeast"/>
        <w:jc w:val="both"/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</w:pPr>
      <w:r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  <w:t xml:space="preserve">რაც შეეხება </w:t>
      </w:r>
      <w:r w:rsidR="003F0DFC" w:rsidRPr="00217C96"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  <w:t xml:space="preserve">COVID-19 </w:t>
      </w:r>
      <w:r w:rsidR="00217C96">
        <w:rPr>
          <w:rFonts w:eastAsia="Times New Roman" w:cs="Arial"/>
          <w:b/>
          <w:sz w:val="22"/>
          <w:u w:val="single"/>
          <w:shd w:val="clear" w:color="auto" w:fill="FFFFFF"/>
          <w:lang w:val="ka-GE"/>
        </w:rPr>
        <w:t xml:space="preserve">სადიაგნოსტიკო ტესტებსა და მასალებს, ასევე აპარატურას; - </w:t>
      </w:r>
      <w:r w:rsidR="00217C96" w:rsidRPr="00217C96">
        <w:rPr>
          <w:rFonts w:eastAsia="Times New Roman" w:cs="Arial"/>
          <w:sz w:val="22"/>
          <w:shd w:val="clear" w:color="auto" w:fill="FFFFFF"/>
          <w:lang w:val="ka-GE"/>
        </w:rPr>
        <w:t xml:space="preserve">საზოგადოებისთვის ხელმისაწვდომი </w:t>
      </w:r>
      <w:r w:rsidR="00217C96">
        <w:rPr>
          <w:rFonts w:eastAsia="Times New Roman" w:cs="Arial"/>
          <w:sz w:val="22"/>
          <w:shd w:val="clear" w:color="auto" w:fill="FFFFFF"/>
          <w:lang w:val="ka-GE"/>
        </w:rPr>
        <w:t xml:space="preserve">მასობრივი სკრინინგის დროს გამოყენებული </w:t>
      </w:r>
      <w:r w:rsidR="00217C96" w:rsidRPr="00217C96">
        <w:rPr>
          <w:rFonts w:eastAsia="Times New Roman" w:cs="Arial"/>
          <w:sz w:val="22"/>
          <w:shd w:val="clear" w:color="auto" w:fill="FFFFFF"/>
          <w:lang w:val="ka-GE"/>
        </w:rPr>
        <w:t>ყველა სწრაფი</w:t>
      </w:r>
      <w:r w:rsidR="00217C96">
        <w:rPr>
          <w:rFonts w:eastAsia="Times New Roman" w:cs="Arial"/>
          <w:sz w:val="22"/>
          <w:shd w:val="clear" w:color="auto" w:fill="FFFFFF"/>
          <w:lang w:val="ka-GE"/>
        </w:rPr>
        <w:t xml:space="preserve"> ანტიგენ-ტესტი შესყიდულია პროექტის ფარგლებში, 2020 ივნისიდან მოყოლებული:  </w:t>
      </w:r>
    </w:p>
    <w:p w14:paraId="3FFBBD96" w14:textId="783BF3CB" w:rsidR="00E7760E" w:rsidRPr="00217C96" w:rsidRDefault="004C5933" w:rsidP="0089453A">
      <w:pPr>
        <w:pStyle w:val="ListParagraph"/>
        <w:numPr>
          <w:ilvl w:val="0"/>
          <w:numId w:val="20"/>
        </w:num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 w:rsidRPr="00217C96">
        <w:rPr>
          <w:rFonts w:eastAsia="Times New Roman" w:cs="Arial"/>
          <w:sz w:val="22"/>
          <w:shd w:val="clear" w:color="auto" w:fill="FFFFFF"/>
          <w:lang w:val="ka-GE"/>
        </w:rPr>
        <w:t xml:space="preserve">1 350 000 </w:t>
      </w:r>
      <w:r w:rsidR="00217C96" w:rsidRPr="00217C96">
        <w:rPr>
          <w:rFonts w:eastAsia="Times New Roman" w:cs="Arial"/>
          <w:sz w:val="22"/>
          <w:shd w:val="clear" w:color="auto" w:fill="FFFFFF"/>
          <w:lang w:val="ka-GE"/>
        </w:rPr>
        <w:t xml:space="preserve">სწრაფი </w:t>
      </w:r>
      <w:r w:rsidRPr="00217C96">
        <w:rPr>
          <w:rFonts w:eastAsia="Times New Roman" w:cs="Arial"/>
          <w:sz w:val="22"/>
          <w:shd w:val="clear" w:color="auto" w:fill="FFFFFF"/>
          <w:lang w:val="ka-GE"/>
        </w:rPr>
        <w:t xml:space="preserve">AG </w:t>
      </w:r>
      <w:r w:rsidR="00217C96" w:rsidRPr="00217C96">
        <w:rPr>
          <w:rFonts w:eastAsia="Times New Roman" w:cs="Arial"/>
          <w:sz w:val="22"/>
          <w:shd w:val="clear" w:color="auto" w:fill="FFFFFF"/>
          <w:lang w:val="ka-GE"/>
        </w:rPr>
        <w:t xml:space="preserve">ტესტი, </w:t>
      </w:r>
      <w:r w:rsidRPr="00217C96">
        <w:rPr>
          <w:rFonts w:eastAsia="Times New Roman" w:cs="Arial"/>
          <w:sz w:val="22"/>
          <w:shd w:val="clear" w:color="auto" w:fill="FFFFFF"/>
          <w:lang w:val="ka-GE"/>
        </w:rPr>
        <w:t xml:space="preserve">397 000 </w:t>
      </w:r>
      <w:r w:rsidR="00217C96" w:rsidRPr="00217C96">
        <w:rPr>
          <w:rFonts w:eastAsia="Times New Roman" w:cs="Arial"/>
          <w:sz w:val="22"/>
          <w:shd w:val="clear" w:color="auto" w:fill="FFFFFF"/>
          <w:lang w:val="ka-GE"/>
        </w:rPr>
        <w:t>სწრაფი ანტისხეულების ტესტი, და 1 060 000 პისიარ ტესტი</w:t>
      </w:r>
      <w:r w:rsidRPr="00217C96">
        <w:rPr>
          <w:rFonts w:eastAsia="Times New Roman" w:cs="Arial"/>
          <w:sz w:val="22"/>
          <w:shd w:val="clear" w:color="auto" w:fill="FFFFFF"/>
          <w:lang w:val="ka-GE"/>
        </w:rPr>
        <w:t xml:space="preserve">, 275 000 </w:t>
      </w:r>
      <w:r w:rsidR="00217C96">
        <w:rPr>
          <w:rFonts w:eastAsia="Times New Roman" w:cs="Arial"/>
          <w:sz w:val="22"/>
          <w:shd w:val="clear" w:color="auto" w:fill="FFFFFF"/>
          <w:lang w:val="ka-GE"/>
        </w:rPr>
        <w:t>დნმ/რნმ (</w:t>
      </w:r>
      <w:r w:rsidRPr="00217C96">
        <w:rPr>
          <w:rFonts w:eastAsia="Times New Roman" w:cs="Arial"/>
          <w:sz w:val="22"/>
          <w:shd w:val="clear" w:color="auto" w:fill="FFFFFF"/>
          <w:lang w:val="ka-GE"/>
        </w:rPr>
        <w:t>DNA/RNA</w:t>
      </w:r>
      <w:r w:rsidR="00217C96">
        <w:rPr>
          <w:rFonts w:eastAsia="Times New Roman" w:cs="Arial"/>
          <w:sz w:val="22"/>
          <w:shd w:val="clear" w:color="auto" w:fill="FFFFFF"/>
          <w:lang w:val="ka-GE"/>
        </w:rPr>
        <w:t>) ექსტრაქციის კომპლექტები, და ასევე, როშე დიაგნისტიქსის (</w:t>
      </w:r>
      <w:r w:rsidRPr="00217C96">
        <w:rPr>
          <w:rFonts w:eastAsia="Times New Roman" w:cs="Arial"/>
          <w:sz w:val="22"/>
          <w:shd w:val="clear" w:color="auto" w:fill="FFFFFF"/>
          <w:lang w:val="ka-GE"/>
        </w:rPr>
        <w:t>Roche Diagnostic</w:t>
      </w:r>
      <w:r w:rsidR="00217C96">
        <w:rPr>
          <w:rFonts w:eastAsia="Times New Roman" w:cs="Arial"/>
          <w:sz w:val="22"/>
          <w:shd w:val="clear" w:color="auto" w:fill="FFFFFF"/>
          <w:lang w:val="ka-GE"/>
        </w:rPr>
        <w:t xml:space="preserve">) პისიარ ტესტირების ავტომატური მოწყობილობა </w:t>
      </w:r>
      <w:r w:rsidRPr="00217C96">
        <w:rPr>
          <w:rFonts w:eastAsia="Times New Roman" w:cs="Arial"/>
          <w:sz w:val="22"/>
          <w:shd w:val="clear" w:color="auto" w:fill="FFFFFF"/>
          <w:lang w:val="ka-GE"/>
        </w:rPr>
        <w:t xml:space="preserve">Cobas 6800 </w:t>
      </w:r>
      <w:r w:rsidR="00217C96">
        <w:rPr>
          <w:rFonts w:eastAsia="Times New Roman" w:cs="Arial"/>
          <w:sz w:val="22"/>
          <w:shd w:val="clear" w:color="auto" w:fill="FFFFFF"/>
          <w:lang w:val="ka-GE"/>
        </w:rPr>
        <w:t xml:space="preserve">შესყიდულია და მარტამდე მიეწოდება ნ.ყიფშიძის სახელობის პირველ საუნივერსიტეტო კლინიკას. </w:t>
      </w:r>
    </w:p>
    <w:p w14:paraId="663A46B7" w14:textId="3E70171B" w:rsidR="00C661AB" w:rsidRPr="00217C96" w:rsidRDefault="00E7760E" w:rsidP="004B564A">
      <w:p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 w:rsidRPr="00217C96">
        <w:rPr>
          <w:rFonts w:eastAsia="Times New Roman" w:cs="Arial"/>
          <w:b/>
          <w:sz w:val="22"/>
          <w:shd w:val="clear" w:color="auto" w:fill="FFFFFF"/>
          <w:lang w:val="ka-GE"/>
        </w:rPr>
        <w:t xml:space="preserve">100 </w:t>
      </w:r>
      <w:r w:rsidR="00217C96">
        <w:rPr>
          <w:rFonts w:eastAsia="Times New Roman" w:cs="Arial"/>
          <w:b/>
          <w:sz w:val="22"/>
          <w:shd w:val="clear" w:color="auto" w:fill="FFFFFF"/>
          <w:lang w:val="ka-GE"/>
        </w:rPr>
        <w:t xml:space="preserve">პირველადი ჯანდაცვის ობიექტი </w:t>
      </w:r>
      <w:r w:rsidR="00217C96">
        <w:rPr>
          <w:rFonts w:eastAsia="Times New Roman" w:cs="Arial"/>
          <w:sz w:val="22"/>
          <w:shd w:val="clear" w:color="auto" w:fill="FFFFFF"/>
          <w:lang w:val="ka-GE"/>
        </w:rPr>
        <w:t xml:space="preserve">საქართველოს სხვადასხვა რეგიონში აღიჭურვა აუცილებელი ავეჯითა და სამედიცინო აპარატურით, - სტანდარტული სამედიცინო აპარატურის პაკეტი შედგებოდა 36 დასახელების არსებითად სასიცოცხლო მნიშვნელობის მოწყობილობისგან. </w:t>
      </w:r>
      <w:r w:rsidR="00C661AB" w:rsidRPr="00217C96">
        <w:rPr>
          <w:rFonts w:eastAsia="Times New Roman" w:cs="Arial"/>
          <w:sz w:val="22"/>
          <w:shd w:val="clear" w:color="auto" w:fill="FFFFFF"/>
          <w:lang w:val="ka-GE"/>
        </w:rPr>
        <w:t xml:space="preserve">  </w:t>
      </w:r>
    </w:p>
    <w:p w14:paraId="2B329F37" w14:textId="5B74D7D8" w:rsidR="00FE2301" w:rsidRPr="00217C96" w:rsidRDefault="00E7760E" w:rsidP="004B564A">
      <w:p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 w:rsidRPr="00217C96">
        <w:rPr>
          <w:rFonts w:eastAsia="Times New Roman" w:cs="Arial"/>
          <w:sz w:val="22"/>
          <w:shd w:val="clear" w:color="auto" w:fill="FFFFFF"/>
          <w:lang w:val="ka-GE"/>
        </w:rPr>
        <w:br/>
      </w:r>
      <w:r w:rsidR="00217C96">
        <w:rPr>
          <w:rFonts w:eastAsia="Times New Roman" w:cs="Arial"/>
          <w:sz w:val="22"/>
          <w:shd w:val="clear" w:color="auto" w:fill="FFFFFF"/>
          <w:lang w:val="ka-GE"/>
        </w:rPr>
        <w:t xml:space="preserve">სტრატეგიუოლად უმნიშვნელოვანესი პერსონალური დაცვის საშუალებების </w:t>
      </w:r>
      <w:r w:rsidR="00CF27C8" w:rsidRPr="00217C96">
        <w:rPr>
          <w:rFonts w:eastAsia="Times New Roman" w:cs="Arial"/>
          <w:b/>
          <w:sz w:val="22"/>
          <w:shd w:val="clear" w:color="auto" w:fill="FFFFFF"/>
          <w:lang w:val="ka-GE"/>
        </w:rPr>
        <w:t>PPE (Personal Protective Equipment)</w:t>
      </w:r>
      <w:r w:rsidR="00217C96">
        <w:rPr>
          <w:rFonts w:eastAsia="Times New Roman" w:cs="Arial"/>
          <w:b/>
          <w:sz w:val="22"/>
          <w:shd w:val="clear" w:color="auto" w:fill="FFFFFF"/>
          <w:lang w:val="ka-GE"/>
        </w:rPr>
        <w:t xml:space="preserve"> </w:t>
      </w:r>
      <w:r w:rsidR="00217C96">
        <w:rPr>
          <w:rFonts w:eastAsia="Times New Roman" w:cs="Arial"/>
          <w:sz w:val="22"/>
          <w:shd w:val="clear" w:color="auto" w:fill="FFFFFF"/>
          <w:lang w:val="ka-GE"/>
        </w:rPr>
        <w:t xml:space="preserve">შესყიდვას ასევე ახორციელებს პროექტი, წამყვან ორგანიზაციებთან - დაავადებათა კონტროლის ცენტრთან და სასწრაფო და გადაუდებელი დახმარების ცენტრთან მჭირდო თანამშრომლობითა და სამინისტროს ადმინისტრაციასთან კოორდინაციით: </w:t>
      </w:r>
      <w:r w:rsidR="00CF27C8" w:rsidRPr="00217C96">
        <w:rPr>
          <w:rFonts w:eastAsia="Times New Roman" w:cs="Arial"/>
          <w:sz w:val="22"/>
          <w:shd w:val="clear" w:color="auto" w:fill="FFFFFF"/>
          <w:lang w:val="ka-GE"/>
        </w:rPr>
        <w:t xml:space="preserve">  </w:t>
      </w:r>
      <w:r w:rsidR="004C5933" w:rsidRPr="00217C96">
        <w:rPr>
          <w:rFonts w:eastAsia="Times New Roman" w:cs="Arial"/>
          <w:sz w:val="22"/>
          <w:shd w:val="clear" w:color="auto" w:fill="FFFFFF"/>
          <w:lang w:val="ka-GE"/>
        </w:rPr>
        <w:t xml:space="preserve">   </w:t>
      </w:r>
    </w:p>
    <w:p w14:paraId="060667B6" w14:textId="4E7FCF31" w:rsidR="00224E96" w:rsidRPr="00F87A1B" w:rsidRDefault="00224E96" w:rsidP="00C661AB">
      <w:pPr>
        <w:pStyle w:val="ListParagraph"/>
        <w:numPr>
          <w:ilvl w:val="0"/>
          <w:numId w:val="31"/>
        </w:numPr>
        <w:spacing w:after="0" w:line="257" w:lineRule="atLeast"/>
        <w:rPr>
          <w:rFonts w:eastAsia="Times New Roman" w:cs="Arial"/>
          <w:sz w:val="22"/>
          <w:shd w:val="clear" w:color="auto" w:fill="FFFFFF"/>
        </w:rPr>
      </w:pPr>
      <w:r w:rsidRPr="00F87A1B">
        <w:rPr>
          <w:rFonts w:eastAsia="Times New Roman" w:cs="Arial"/>
          <w:sz w:val="22"/>
          <w:shd w:val="clear" w:color="auto" w:fill="FFFFFF"/>
          <w:lang w:val="ka-GE"/>
        </w:rPr>
        <w:t xml:space="preserve">54 000 </w:t>
      </w:r>
      <w:r w:rsidR="00217C96">
        <w:rPr>
          <w:rFonts w:eastAsia="Times New Roman" w:cs="Arial"/>
          <w:sz w:val="22"/>
          <w:shd w:val="clear" w:color="auto" w:fill="FFFFFF"/>
          <w:lang w:val="de-DE"/>
        </w:rPr>
        <w:t>ხელ</w:t>
      </w:r>
      <w:r w:rsidR="00217C96">
        <w:rPr>
          <w:rFonts w:eastAsia="Times New Roman" w:cs="Arial"/>
          <w:sz w:val="22"/>
          <w:shd w:val="clear" w:color="auto" w:fill="FFFFFF"/>
          <w:lang w:val="ka-GE"/>
        </w:rPr>
        <w:t>თათმანი</w:t>
      </w:r>
    </w:p>
    <w:p w14:paraId="334CA870" w14:textId="74D1302E" w:rsidR="00224E96" w:rsidRPr="00F87A1B" w:rsidRDefault="00224E96" w:rsidP="00C661AB">
      <w:pPr>
        <w:pStyle w:val="ListParagraph"/>
        <w:numPr>
          <w:ilvl w:val="0"/>
          <w:numId w:val="31"/>
        </w:numPr>
        <w:spacing w:after="0" w:line="257" w:lineRule="atLeast"/>
        <w:rPr>
          <w:rFonts w:eastAsia="Times New Roman" w:cs="Arial"/>
          <w:sz w:val="22"/>
          <w:shd w:val="clear" w:color="auto" w:fill="FFFFFF"/>
        </w:rPr>
      </w:pPr>
      <w:r w:rsidRPr="00F87A1B">
        <w:rPr>
          <w:rFonts w:eastAsia="Times New Roman" w:cs="Arial"/>
          <w:sz w:val="22"/>
          <w:shd w:val="clear" w:color="auto" w:fill="FFFFFF"/>
          <w:lang w:val="ka-GE"/>
        </w:rPr>
        <w:t xml:space="preserve">40 000 </w:t>
      </w:r>
      <w:r w:rsidR="00217C96">
        <w:rPr>
          <w:rFonts w:eastAsia="Times New Roman" w:cs="Arial"/>
          <w:sz w:val="22"/>
          <w:shd w:val="clear" w:color="auto" w:fill="FFFFFF"/>
          <w:lang w:val="de-DE"/>
        </w:rPr>
        <w:t>სახის დამცავი ფარი</w:t>
      </w:r>
      <w:r w:rsidR="006119F8">
        <w:rPr>
          <w:rFonts w:eastAsia="Times New Roman" w:cs="Arial"/>
          <w:sz w:val="22"/>
          <w:shd w:val="clear" w:color="auto" w:fill="FFFFFF"/>
          <w:lang w:val="de-DE"/>
        </w:rPr>
        <w:t xml:space="preserve"> </w:t>
      </w:r>
    </w:p>
    <w:p w14:paraId="5E751C2D" w14:textId="533CB605" w:rsidR="006119F8" w:rsidRPr="00F87A1B" w:rsidRDefault="006119F8" w:rsidP="00C661AB">
      <w:pPr>
        <w:pStyle w:val="ListParagraph"/>
        <w:numPr>
          <w:ilvl w:val="0"/>
          <w:numId w:val="31"/>
        </w:numPr>
        <w:spacing w:line="257" w:lineRule="atLeast"/>
        <w:rPr>
          <w:rFonts w:eastAsia="Times New Roman" w:cs="Arial"/>
          <w:sz w:val="22"/>
          <w:shd w:val="clear" w:color="auto" w:fill="FFFFFF"/>
          <w:lang w:val="ka-GE"/>
        </w:rPr>
      </w:pPr>
      <w:r w:rsidRPr="00F87A1B">
        <w:rPr>
          <w:rFonts w:eastAsia="Times New Roman" w:cs="Arial"/>
          <w:sz w:val="22"/>
          <w:shd w:val="clear" w:color="auto" w:fill="FFFFFF"/>
        </w:rPr>
        <w:t>230 000 </w:t>
      </w:r>
      <w:r w:rsidRPr="00F87A1B">
        <w:rPr>
          <w:rFonts w:eastAsia="Times New Roman" w:cs="Arial"/>
          <w:sz w:val="22"/>
          <w:shd w:val="clear" w:color="auto" w:fill="FFFFFF"/>
          <w:lang w:val="ka-GE"/>
        </w:rPr>
        <w:t xml:space="preserve"> </w:t>
      </w:r>
      <w:r w:rsidR="00217C96">
        <w:rPr>
          <w:rFonts w:eastAsia="Times New Roman" w:cs="Arial"/>
          <w:sz w:val="22"/>
          <w:shd w:val="clear" w:color="auto" w:fill="FFFFFF"/>
          <w:lang w:val="de-DE"/>
        </w:rPr>
        <w:t>რესპირატორი</w:t>
      </w:r>
      <w:r>
        <w:rPr>
          <w:rFonts w:eastAsia="Times New Roman" w:cs="Arial"/>
          <w:sz w:val="22"/>
          <w:shd w:val="clear" w:color="auto" w:fill="FFFFFF"/>
        </w:rPr>
        <w:t xml:space="preserve"> </w:t>
      </w:r>
      <w:r w:rsidR="00597C41">
        <w:rPr>
          <w:rFonts w:eastAsia="Times New Roman" w:cs="Arial"/>
          <w:sz w:val="22"/>
          <w:shd w:val="clear" w:color="auto" w:fill="FFFFFF"/>
          <w:lang w:val="ka-GE"/>
        </w:rPr>
        <w:t>- უკვე შესყიდული და მოწოდებულია, ასევე</w:t>
      </w:r>
    </w:p>
    <w:p w14:paraId="1145A659" w14:textId="08056EFA" w:rsidR="006119F8" w:rsidRPr="00676363" w:rsidRDefault="00224E96" w:rsidP="00C661AB">
      <w:pPr>
        <w:pStyle w:val="ListParagraph"/>
        <w:numPr>
          <w:ilvl w:val="0"/>
          <w:numId w:val="31"/>
        </w:numPr>
        <w:spacing w:line="257" w:lineRule="atLeast"/>
        <w:rPr>
          <w:rFonts w:eastAsia="Times New Roman" w:cs="Arial"/>
          <w:sz w:val="22"/>
          <w:shd w:val="clear" w:color="auto" w:fill="FFFFFF"/>
          <w:lang w:val="ka-GE"/>
        </w:rPr>
      </w:pPr>
      <w:r w:rsidRPr="00F87A1B">
        <w:rPr>
          <w:rFonts w:eastAsia="Times New Roman" w:cs="Arial"/>
          <w:sz w:val="22"/>
          <w:shd w:val="clear" w:color="auto" w:fill="FFFFFF"/>
        </w:rPr>
        <w:t>4 300 000</w:t>
      </w:r>
      <w:r w:rsidR="0026182B" w:rsidRPr="00F87A1B">
        <w:rPr>
          <w:rFonts w:eastAsia="Times New Roman" w:cs="Arial"/>
          <w:sz w:val="22"/>
          <w:shd w:val="clear" w:color="auto" w:fill="FFFFFF"/>
        </w:rPr>
        <w:t xml:space="preserve"> </w:t>
      </w:r>
      <w:r w:rsidR="00597C41">
        <w:rPr>
          <w:rFonts w:eastAsia="Times New Roman" w:cs="Arial"/>
          <w:sz w:val="22"/>
          <w:shd w:val="clear" w:color="auto" w:fill="FFFFFF"/>
          <w:lang w:val="ka-GE"/>
        </w:rPr>
        <w:t>ხელთათმანი  და</w:t>
      </w:r>
    </w:p>
    <w:p w14:paraId="287637E1" w14:textId="6704DD14" w:rsidR="006119F8" w:rsidRPr="00F87A1B" w:rsidRDefault="006119F8" w:rsidP="00C661AB">
      <w:pPr>
        <w:pStyle w:val="ListParagraph"/>
        <w:numPr>
          <w:ilvl w:val="0"/>
          <w:numId w:val="31"/>
        </w:numPr>
        <w:spacing w:after="0" w:line="257" w:lineRule="atLeast"/>
        <w:rPr>
          <w:rFonts w:eastAsia="Times New Roman" w:cs="Arial"/>
          <w:sz w:val="22"/>
          <w:shd w:val="clear" w:color="auto" w:fill="FFFFFF"/>
        </w:rPr>
      </w:pPr>
      <w:r w:rsidRPr="00F87A1B">
        <w:rPr>
          <w:rFonts w:eastAsia="Times New Roman" w:cs="Arial"/>
          <w:sz w:val="22"/>
          <w:shd w:val="clear" w:color="auto" w:fill="FFFFFF"/>
          <w:lang w:val="ka-GE"/>
        </w:rPr>
        <w:t xml:space="preserve">3 000 000 </w:t>
      </w:r>
      <w:proofErr w:type="spellStart"/>
      <w:r w:rsidR="00597C41">
        <w:rPr>
          <w:rFonts w:eastAsia="Times New Roman" w:cs="Arial"/>
          <w:sz w:val="22"/>
          <w:shd w:val="clear" w:color="auto" w:fill="FFFFFF"/>
        </w:rPr>
        <w:t>ნი</w:t>
      </w:r>
      <w:proofErr w:type="spellEnd"/>
      <w:r w:rsidR="00597C41">
        <w:rPr>
          <w:rFonts w:eastAsia="Times New Roman" w:cs="Arial"/>
          <w:sz w:val="22"/>
          <w:shd w:val="clear" w:color="auto" w:fill="FFFFFF"/>
          <w:lang w:val="ka-GE"/>
        </w:rPr>
        <w:t>ღბები მოწოდების ეტაპზეა</w:t>
      </w:r>
    </w:p>
    <w:p w14:paraId="0665C7AE" w14:textId="0E7D3839" w:rsidR="00224E96" w:rsidRPr="00C661AB" w:rsidRDefault="00224E96" w:rsidP="00C661AB">
      <w:pPr>
        <w:spacing w:line="257" w:lineRule="atLeast"/>
        <w:jc w:val="both"/>
        <w:rPr>
          <w:rFonts w:asciiTheme="minorHAnsi" w:eastAsia="Times New Roman" w:hAnsiTheme="minorHAnsi" w:cs="Arial"/>
          <w:sz w:val="22"/>
          <w:shd w:val="clear" w:color="auto" w:fill="FFFFFF"/>
        </w:rPr>
      </w:pPr>
    </w:p>
    <w:p w14:paraId="08BF29AE" w14:textId="745ABAF7" w:rsidR="00AA4A7F" w:rsidRPr="00F87A1B" w:rsidRDefault="0014227B" w:rsidP="00C661AB">
      <w:p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lastRenderedPageBreak/>
        <w:t>თანამედროვე კომუნიკაციისა და სატრანსპორტო მოწყობილობების შესყიდვა მიმდინარეობს სასწრაფო და გადაუდებელი დახმარების ცენტრის აღჭურვისა და ეროვნული სისტემის ამ მხრივ გაძლიერებისათვის:</w:t>
      </w:r>
    </w:p>
    <w:p w14:paraId="1B6515B2" w14:textId="17B16575" w:rsidR="00912EF8" w:rsidRPr="0014227B" w:rsidRDefault="0014227B" w:rsidP="00C661AB">
      <w:pPr>
        <w:pStyle w:val="ListParagraph"/>
        <w:numPr>
          <w:ilvl w:val="0"/>
          <w:numId w:val="26"/>
        </w:num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 w:rsidRPr="0014227B">
        <w:rPr>
          <w:rFonts w:eastAsia="Times New Roman" w:cs="Arial"/>
          <w:sz w:val="22"/>
          <w:shd w:val="clear" w:color="auto" w:fill="FFFFFF"/>
          <w:lang w:val="ka-GE"/>
        </w:rPr>
        <w:t>B- და C-ტიპის</w:t>
      </w:r>
      <w:r w:rsidR="00912EF8" w:rsidRPr="0014227B">
        <w:rPr>
          <w:rFonts w:eastAsia="Times New Roman" w:cs="Arial"/>
          <w:sz w:val="22"/>
          <w:shd w:val="clear" w:color="auto" w:fill="FFFFFF"/>
          <w:lang w:val="ka-GE"/>
        </w:rPr>
        <w:t xml:space="preserve"> 38 </w:t>
      </w:r>
      <w:r>
        <w:rPr>
          <w:rFonts w:eastAsia="Times New Roman" w:cs="Arial"/>
          <w:sz w:val="22"/>
          <w:shd w:val="clear" w:color="auto" w:fill="FFFFFF"/>
          <w:lang w:val="ka-GE"/>
        </w:rPr>
        <w:t>სრულად აღჭურვილი სატრანსპორტო საშუალება გადაუდებელი დახმარების ბრიგადებისათვის, ასევე</w:t>
      </w:r>
    </w:p>
    <w:p w14:paraId="6E2294CD" w14:textId="1218112D" w:rsidR="00912EF8" w:rsidRPr="0014227B" w:rsidRDefault="0014227B" w:rsidP="00C661AB">
      <w:pPr>
        <w:pStyle w:val="ListParagraph"/>
        <w:numPr>
          <w:ilvl w:val="0"/>
          <w:numId w:val="25"/>
        </w:num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t xml:space="preserve">ტეტრა სისტემის რადიო გადამცემი მოწყობილობა გადაუდებელი ოპერირების მიზნით ინფორმაციის მაღალეფექტური გაცვლისა და მიწოდებისთვის, საქართველოს ყველა რეგიონის მასშტაბით; </w:t>
      </w:r>
    </w:p>
    <w:p w14:paraId="3FB364EC" w14:textId="39FC5303" w:rsidR="00912EF8" w:rsidRPr="0014227B" w:rsidRDefault="0014227B" w:rsidP="00C661AB">
      <w:pPr>
        <w:pStyle w:val="ListParagraph"/>
        <w:numPr>
          <w:ilvl w:val="0"/>
          <w:numId w:val="25"/>
        </w:numPr>
        <w:spacing w:line="257" w:lineRule="atLeast"/>
        <w:jc w:val="both"/>
        <w:rPr>
          <w:rFonts w:eastAsia="Times New Roman" w:cs="Arial"/>
          <w:sz w:val="22"/>
          <w:shd w:val="clear" w:color="auto" w:fill="FFFFFF"/>
          <w:lang w:val="ka-GE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t xml:space="preserve">არსებითად უმნიშვნელოვანესი სამედიცინო აპარატურის შეძენა სასწრაფო დახმარების ბრიგადებისთვის, და </w:t>
      </w:r>
    </w:p>
    <w:p w14:paraId="5C8E4B10" w14:textId="07392B67" w:rsidR="008B3543" w:rsidRDefault="0014227B" w:rsidP="00C661AB">
      <w:pPr>
        <w:pStyle w:val="ListParagraph"/>
        <w:numPr>
          <w:ilvl w:val="0"/>
          <w:numId w:val="25"/>
        </w:numPr>
        <w:spacing w:line="257" w:lineRule="atLeast"/>
        <w:jc w:val="both"/>
        <w:rPr>
          <w:rFonts w:eastAsia="Times New Roman" w:cs="Arial"/>
          <w:sz w:val="22"/>
          <w:shd w:val="clear" w:color="auto" w:fill="FFFFFF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t xml:space="preserve">სასერვერო ინფრასტრუქტურა, მონაცემთა შეკრებისა და ბაზის ეფექტური მართვისთვის. </w:t>
      </w:r>
      <w:r w:rsidR="00912EF8" w:rsidRPr="00F87A1B">
        <w:rPr>
          <w:rFonts w:eastAsia="Times New Roman" w:cs="Arial"/>
          <w:sz w:val="22"/>
          <w:shd w:val="clear" w:color="auto" w:fill="FFFFFF"/>
        </w:rPr>
        <w:t xml:space="preserve">  </w:t>
      </w:r>
    </w:p>
    <w:p w14:paraId="02EF600F" w14:textId="77777777" w:rsidR="00C661AB" w:rsidRPr="00C661AB" w:rsidRDefault="00C661AB" w:rsidP="00C661AB">
      <w:pPr>
        <w:pStyle w:val="ListParagraph"/>
        <w:spacing w:line="257" w:lineRule="atLeast"/>
        <w:jc w:val="both"/>
        <w:rPr>
          <w:rFonts w:eastAsia="Times New Roman" w:cs="Arial"/>
          <w:sz w:val="22"/>
          <w:shd w:val="clear" w:color="auto" w:fill="FFFFFF"/>
        </w:rPr>
      </w:pPr>
    </w:p>
    <w:p w14:paraId="294D23E2" w14:textId="12A153C6" w:rsidR="008B3543" w:rsidRPr="00F87A1B" w:rsidRDefault="0014227B" w:rsidP="00C661AB">
      <w:pPr>
        <w:spacing w:line="257" w:lineRule="atLeast"/>
        <w:rPr>
          <w:rFonts w:eastAsia="Times New Roman" w:cs="Arial"/>
          <w:b/>
          <w:sz w:val="22"/>
          <w:shd w:val="clear" w:color="auto" w:fill="FFFFFF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t xml:space="preserve">საქართველოს რეგიონების მასშტაბით ეროვნული სისტემის სრულყოფილი ოპერირების საშუალებების განვითარების მიზნით, 15 სატრანსპორტო საშუალება შესყიდულია სამედიცინო და ფარმაცევტული საქმიანობის რეგულირების სააგენტოსთვის. </w:t>
      </w:r>
    </w:p>
    <w:p w14:paraId="64A23864" w14:textId="4D9E85F2" w:rsidR="008B3543" w:rsidRPr="00F87A1B" w:rsidRDefault="0014227B" w:rsidP="00C661AB">
      <w:pPr>
        <w:spacing w:line="257" w:lineRule="atLeast"/>
        <w:jc w:val="both"/>
        <w:rPr>
          <w:rFonts w:eastAsia="Times New Roman" w:cs="Arial"/>
          <w:sz w:val="22"/>
          <w:shd w:val="clear" w:color="auto" w:fill="FFFFFF"/>
        </w:rPr>
      </w:pPr>
      <w:r>
        <w:rPr>
          <w:rFonts w:eastAsia="Times New Roman" w:cs="Arial"/>
          <w:sz w:val="22"/>
          <w:shd w:val="clear" w:color="auto" w:fill="FFFFFF"/>
          <w:lang w:val="ka-GE"/>
        </w:rPr>
        <w:t>პროექტის ფარგლებში სპეციალურად გამოყოფილი რესურსით, ტექნიკური დახმარების ჩარჩოში ეროვნული განდაცვის სიტემის შემდგომი გაძლიერებისთვის პროექტმა განახორციელა მნიშვნელოვანი კონტრიბ</w:t>
      </w:r>
      <w:r w:rsidR="00681BBC">
        <w:rPr>
          <w:rFonts w:eastAsia="Times New Roman" w:cs="Arial"/>
          <w:sz w:val="22"/>
          <w:shd w:val="clear" w:color="auto" w:fill="FFFFFF"/>
          <w:lang w:val="ka-GE"/>
        </w:rPr>
        <w:t>უცია ჯანდაცვის პოლიტიკისა და ინოვაციებ</w:t>
      </w:r>
      <w:r>
        <w:rPr>
          <w:rFonts w:eastAsia="Times New Roman" w:cs="Arial"/>
          <w:sz w:val="22"/>
          <w:shd w:val="clear" w:color="auto" w:fill="FFFFFF"/>
          <w:lang w:val="ka-GE"/>
        </w:rPr>
        <w:t xml:space="preserve">ის კუთხით: </w:t>
      </w:r>
    </w:p>
    <w:p w14:paraId="55DBD6C3" w14:textId="1DAD7207" w:rsidR="00DA1D52" w:rsidRPr="00F87A1B" w:rsidRDefault="00681BBC" w:rsidP="00C661AB">
      <w:pPr>
        <w:pStyle w:val="ListParagraph"/>
        <w:numPr>
          <w:ilvl w:val="0"/>
          <w:numId w:val="19"/>
        </w:numPr>
        <w:jc w:val="both"/>
        <w:rPr>
          <w:sz w:val="22"/>
          <w:lang w:val="ka-GE"/>
        </w:rPr>
      </w:pPr>
      <w:r>
        <w:rPr>
          <w:sz w:val="22"/>
        </w:rPr>
        <w:t>COVID-19-</w:t>
      </w:r>
      <w:r>
        <w:rPr>
          <w:sz w:val="22"/>
          <w:lang w:val="ka-GE"/>
        </w:rPr>
        <w:t>თან დაკავშირებული კრიზისის მართვის მიზნით, დაფინანსდა „კოვიდ-19-ის შემდგომი ტალღებისთვის ჯანდაცვის სექტორის მზაობისა და ეფექტური მართვის უნარების გაძლიერების სამოქმედო გეგმის 2020-2021</w:t>
      </w:r>
      <w:proofErr w:type="gramStart"/>
      <w:r>
        <w:rPr>
          <w:sz w:val="22"/>
          <w:lang w:val="ka-GE"/>
        </w:rPr>
        <w:t>“ მომზადება</w:t>
      </w:r>
      <w:proofErr w:type="gramEnd"/>
      <w:r>
        <w:rPr>
          <w:sz w:val="22"/>
          <w:lang w:val="ka-GE"/>
        </w:rPr>
        <w:t xml:space="preserve"> და ამასთან დაკავშირებული ეროვნული კონსულტაციები.</w:t>
      </w:r>
      <w:r w:rsidR="001D25F2" w:rsidRPr="00F87A1B">
        <w:rPr>
          <w:sz w:val="22"/>
        </w:rPr>
        <w:t xml:space="preserve"> </w:t>
      </w:r>
    </w:p>
    <w:p w14:paraId="55C51BD0" w14:textId="77777777" w:rsidR="000D3FEC" w:rsidRDefault="00681BBC" w:rsidP="000D3FEC">
      <w:pPr>
        <w:pStyle w:val="ListParagraph"/>
        <w:numPr>
          <w:ilvl w:val="0"/>
          <w:numId w:val="19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თვით-იზოლაციისა და კარანტინის შემთხვევების მართვის ელექტრონული პლატფორმის განვითარება და ამოქმედება; </w:t>
      </w:r>
    </w:p>
    <w:p w14:paraId="4EB3B7EB" w14:textId="05C8CCEA" w:rsidR="001651F4" w:rsidRPr="000D3FEC" w:rsidRDefault="00DA1D52" w:rsidP="000D3FEC">
      <w:pPr>
        <w:pStyle w:val="ListParagraph"/>
        <w:numPr>
          <w:ilvl w:val="0"/>
          <w:numId w:val="19"/>
        </w:numPr>
        <w:jc w:val="both"/>
        <w:rPr>
          <w:sz w:val="22"/>
          <w:lang w:val="ka-GE"/>
        </w:rPr>
      </w:pPr>
      <w:r w:rsidRPr="000D3FEC">
        <w:rPr>
          <w:sz w:val="22"/>
          <w:lang w:val="ka-GE"/>
        </w:rPr>
        <w:t xml:space="preserve">STOP-COVID </w:t>
      </w:r>
      <w:r w:rsidR="00681BBC" w:rsidRPr="000D3FEC">
        <w:rPr>
          <w:sz w:val="22"/>
          <w:lang w:val="ka-GE"/>
        </w:rPr>
        <w:t>მობილური აპლიკაციის შემდგომი მხარდაჭერა</w:t>
      </w:r>
      <w:r w:rsidR="000D3FEC">
        <w:rPr>
          <w:sz w:val="22"/>
          <w:lang w:val="ka-GE"/>
        </w:rPr>
        <w:t>,</w:t>
      </w:r>
      <w:r w:rsidR="00681BBC" w:rsidRPr="000D3FEC">
        <w:rPr>
          <w:sz w:val="22"/>
          <w:lang w:val="ka-GE"/>
        </w:rPr>
        <w:t xml:space="preserve"> მოსახლეობის ჩართულობისა და მასების თანამონაწილეობის გაზრდისათვის </w:t>
      </w:r>
      <w:r w:rsidR="001D25F2" w:rsidRPr="000D3FEC">
        <w:rPr>
          <w:sz w:val="22"/>
          <w:lang w:val="ka-GE"/>
        </w:rPr>
        <w:t>COVID-19</w:t>
      </w:r>
      <w:r w:rsidR="00681BBC" w:rsidRPr="000D3FEC">
        <w:rPr>
          <w:sz w:val="22"/>
          <w:lang w:val="ka-GE"/>
        </w:rPr>
        <w:t xml:space="preserve"> გავრცელების შესაკავებლად</w:t>
      </w:r>
      <w:r w:rsidRPr="000D3FEC">
        <w:rPr>
          <w:sz w:val="22"/>
          <w:lang w:val="ka-GE"/>
        </w:rPr>
        <w:t>.</w:t>
      </w:r>
    </w:p>
    <w:p w14:paraId="015E2FA2" w14:textId="77777777" w:rsidR="001106C1" w:rsidRDefault="001106C1">
      <w:pPr>
        <w:rPr>
          <w:b/>
        </w:rPr>
      </w:pPr>
      <w:r>
        <w:rPr>
          <w:b/>
        </w:rPr>
        <w:br w:type="page"/>
      </w:r>
    </w:p>
    <w:p w14:paraId="13A92B6E" w14:textId="0AAAF28E" w:rsidR="001106C1" w:rsidRPr="001106C1" w:rsidRDefault="001106C1" w:rsidP="001106C1">
      <w:pPr>
        <w:rPr>
          <w:b/>
          <w:lang w:val="ka-GE"/>
        </w:rPr>
      </w:pPr>
      <w:r>
        <w:rPr>
          <w:b/>
          <w:lang w:val="ka-GE"/>
        </w:rPr>
        <w:lastRenderedPageBreak/>
        <w:t>სტატისტიკა 2021 წლის იანვრის მდგომარეობით</w:t>
      </w:r>
    </w:p>
    <w:p w14:paraId="32ADF716" w14:textId="6D736399" w:rsidR="001106C1" w:rsidRPr="008A777F" w:rsidRDefault="008A777F" w:rsidP="008A777F">
      <w:pPr>
        <w:jc w:val="both"/>
        <w:rPr>
          <w:lang w:val="ka-GE"/>
        </w:rPr>
      </w:pPr>
      <w:r>
        <w:rPr>
          <w:lang w:val="ka-GE"/>
        </w:rPr>
        <w:t xml:space="preserve">2020 წლის განმავლობაში სსიპ სოციალური მომსახურების სააგენტოს მიერ მსოფლიო ბანკის და აზიის ინფრასტრუქტურის საინვესტიციო ბანკის მიმდინარე </w:t>
      </w:r>
      <w:r w:rsidRPr="008A777F">
        <w:rPr>
          <w:lang w:val="ka-GE"/>
        </w:rPr>
        <w:t>COVID-19</w:t>
      </w:r>
      <w:r>
        <w:rPr>
          <w:lang w:val="ka-GE"/>
        </w:rPr>
        <w:t xml:space="preserve">-ის წინააღმდეგ </w:t>
      </w:r>
      <w:r>
        <w:rPr>
          <w:lang w:val="ka-GE"/>
        </w:rPr>
        <w:tab/>
        <w:t xml:space="preserve">სწრაფი რეაგირების პროექტის ფარგლებში, სამიზნე ოჯახებისთვის გაცემულია საერთო ჯამში </w:t>
      </w:r>
      <w:r w:rsidRPr="008A777F">
        <w:rPr>
          <w:lang w:val="ka-GE"/>
        </w:rPr>
        <w:t xml:space="preserve">64,736,935 </w:t>
      </w:r>
      <w:r>
        <w:rPr>
          <w:lang w:val="ka-GE"/>
        </w:rPr>
        <w:t>ლარის მოცულობის ანაზღაურება.</w:t>
      </w:r>
    </w:p>
    <w:p w14:paraId="56ECD07F" w14:textId="40ADC7A8" w:rsidR="001106C1" w:rsidRPr="008A777F" w:rsidRDefault="00D21BDD" w:rsidP="001106C1">
      <w:pPr>
        <w:pStyle w:val="ListParagraph"/>
        <w:numPr>
          <w:ilvl w:val="1"/>
          <w:numId w:val="34"/>
        </w:numPr>
        <w:rPr>
          <w:b/>
          <w:u w:val="single"/>
          <w:lang w:val="ka-GE"/>
        </w:rPr>
      </w:pPr>
      <w:r>
        <w:rPr>
          <w:b/>
          <w:u w:val="single"/>
          <w:lang w:val="ka-GE"/>
        </w:rPr>
        <w:t>65,000-100,001 მდე სარეიტინგო ქულის მქონე ოჯახები</w:t>
      </w:r>
    </w:p>
    <w:p w14:paraId="5607793E" w14:textId="77777777" w:rsidR="001106C1" w:rsidRPr="008A777F" w:rsidRDefault="001106C1" w:rsidP="001106C1">
      <w:pPr>
        <w:pStyle w:val="ListParagraph"/>
        <w:ind w:left="1440"/>
        <w:rPr>
          <w:b/>
          <w:u w:val="single"/>
          <w:lang w:val="ka-GE"/>
        </w:rPr>
      </w:pPr>
    </w:p>
    <w:p w14:paraId="77C328F2" w14:textId="5D015D75" w:rsidR="001106C1" w:rsidRPr="00992E1C" w:rsidRDefault="00992E1C" w:rsidP="00992E1C">
      <w:pPr>
        <w:pStyle w:val="ListParagraph"/>
        <w:ind w:left="1440"/>
        <w:jc w:val="both"/>
        <w:rPr>
          <w:lang w:val="ka-GE"/>
        </w:rPr>
      </w:pPr>
      <w:r>
        <w:rPr>
          <w:lang w:val="ka-GE"/>
        </w:rPr>
        <w:t xml:space="preserve">2020 წლის მაისი - ოქტომბრის პერიოდში, საერთო ჯამში, 65,000 – 100,001 სარეიტინგო ქულის მქონე ოჯახებზე ანაზღაურების სახით გაცემულია 50,451,335 ლარი. </w:t>
      </w:r>
      <w:r w:rsidR="00E4256B">
        <w:rPr>
          <w:lang w:val="ka-GE"/>
        </w:rPr>
        <w:t>აღნიშნული მხარდაჭერით ყოველთვიურად სარგებლობდა საშუალოდ 73,000 ოჯახი, ხოლო საშუალო ყოველთვიური ანაზღაურება შეადგენდა 8.5 მილიონ ლარს.</w:t>
      </w:r>
    </w:p>
    <w:tbl>
      <w:tblPr>
        <w:tblW w:w="10044" w:type="dxa"/>
        <w:tblInd w:w="-5" w:type="dxa"/>
        <w:tblLook w:val="04A0" w:firstRow="1" w:lastRow="0" w:firstColumn="1" w:lastColumn="0" w:noHBand="0" w:noVBand="1"/>
      </w:tblPr>
      <w:tblGrid>
        <w:gridCol w:w="2430"/>
        <w:gridCol w:w="900"/>
        <w:gridCol w:w="810"/>
        <w:gridCol w:w="864"/>
        <w:gridCol w:w="846"/>
        <w:gridCol w:w="810"/>
        <w:gridCol w:w="900"/>
        <w:gridCol w:w="810"/>
        <w:gridCol w:w="810"/>
        <w:gridCol w:w="864"/>
      </w:tblGrid>
      <w:tr w:rsidR="001106C1" w:rsidRPr="00992E1C" w14:paraId="377FB90C" w14:textId="77777777" w:rsidTr="001E0A15">
        <w:trPr>
          <w:trHeight w:val="474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06BB8F" w14:textId="71D46A3D" w:rsidR="001106C1" w:rsidRPr="00992E1C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კატეგორიები:</w:t>
            </w:r>
            <w:r w:rsidRPr="00992E1C"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56294D" w14:textId="6C83BB1C" w:rsidR="001106C1" w:rsidRPr="001106C1" w:rsidRDefault="001106C1" w:rsidP="001E0A1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მაისი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7B4C56" w14:textId="79AC3455" w:rsidR="001106C1" w:rsidRPr="001106C1" w:rsidRDefault="001106C1" w:rsidP="001E0A1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ივნისი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2C3F28" w14:textId="4E99D24B" w:rsidR="001106C1" w:rsidRPr="001106C1" w:rsidRDefault="001106C1" w:rsidP="001E0A1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ივლისი</w:t>
            </w:r>
          </w:p>
        </w:tc>
      </w:tr>
      <w:tr w:rsidR="001106C1" w:rsidRPr="00992E1C" w14:paraId="013EDBBE" w14:textId="77777777" w:rsidTr="001E0A15">
        <w:trPr>
          <w:trHeight w:val="474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EAE131" w14:textId="77777777" w:rsidR="001106C1" w:rsidRPr="00992E1C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CDFADB" w14:textId="01454C2F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ოჯახი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1D662C" w14:textId="71B779BF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პირი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56BD3" w14:textId="11F28158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თანხა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662CDB" w14:textId="6977E88D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ოჯახი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D3B809" w14:textId="2AF8EF5D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პირი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7E904" w14:textId="7511A1DE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თანხა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C31DB0" w14:textId="01EE46DD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ოჯახი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56BD9B" w14:textId="18E835CF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პირი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B4C6E4" w14:textId="7A518B34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თანხა</w:t>
            </w:r>
          </w:p>
        </w:tc>
      </w:tr>
      <w:tr w:rsidR="001106C1" w:rsidRPr="00342615" w14:paraId="47863BFA" w14:textId="77777777" w:rsidTr="001E0A15">
        <w:trPr>
          <w:trHeight w:val="474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9E4E" w14:textId="77777777" w:rsidR="00D21BDD" w:rsidRPr="00D21BDD" w:rsidRDefault="00D21BDD" w:rsidP="00D21BDD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992E1C">
              <w:rPr>
                <w:rFonts w:cstheme="minorHAnsi"/>
                <w:color w:val="000000"/>
                <w:sz w:val="16"/>
                <w:szCs w:val="16"/>
                <w:lang w:val="ka-GE"/>
              </w:rPr>
              <w:t>65,000-100,001 მდე სარეიტინგო ქული</w:t>
            </w:r>
            <w:r w:rsidRPr="00D21BDD">
              <w:rPr>
                <w:rFonts w:cstheme="minorHAnsi"/>
                <w:color w:val="000000"/>
                <w:sz w:val="16"/>
                <w:szCs w:val="16"/>
              </w:rPr>
              <w:t xml:space="preserve">ს </w:t>
            </w:r>
            <w:proofErr w:type="spellStart"/>
            <w:r w:rsidRPr="00D21BDD">
              <w:rPr>
                <w:rFonts w:cstheme="minorHAnsi"/>
                <w:color w:val="000000"/>
                <w:sz w:val="16"/>
                <w:szCs w:val="16"/>
              </w:rPr>
              <w:t>მქონე</w:t>
            </w:r>
            <w:proofErr w:type="spellEnd"/>
            <w:r w:rsidRPr="00D21BDD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1BDD">
              <w:rPr>
                <w:rFonts w:cstheme="minorHAnsi"/>
                <w:color w:val="000000"/>
                <w:sz w:val="16"/>
                <w:szCs w:val="16"/>
              </w:rPr>
              <w:t>ოჯახები</w:t>
            </w:r>
            <w:proofErr w:type="spellEnd"/>
          </w:p>
          <w:p w14:paraId="5DD3C198" w14:textId="77777777" w:rsidR="001106C1" w:rsidRPr="00342615" w:rsidRDefault="001106C1" w:rsidP="00D21BDD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BE5C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70,</w:t>
            </w:r>
            <w:r>
              <w:rPr>
                <w:rFonts w:cstheme="minorHAnsi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969B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196,</w:t>
            </w:r>
            <w:r>
              <w:rPr>
                <w:rFonts w:cstheme="minorHAns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8136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7,932,375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EAB5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70,546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DF6B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196,496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F885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8,009,700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C854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71,973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1953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201,175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8B0C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8,180,395</w:t>
            </w:r>
          </w:p>
        </w:tc>
      </w:tr>
      <w:tr w:rsidR="001106C1" w:rsidRPr="00342615" w14:paraId="4CF74CC7" w14:textId="77777777" w:rsidTr="001E0A15">
        <w:trPr>
          <w:trHeight w:val="474"/>
        </w:trPr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B7BFE3" w14:textId="77777777" w:rsidR="001106C1" w:rsidRPr="00342615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4927AE" w14:textId="1FD40770" w:rsidR="001106C1" w:rsidRPr="001106C1" w:rsidRDefault="001106C1" w:rsidP="001E0A1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აგვისტო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840B3E" w14:textId="6B33BF1B" w:rsidR="001106C1" w:rsidRPr="001106C1" w:rsidRDefault="001106C1" w:rsidP="001E0A1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სექტემბერი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AFF282" w14:textId="6B4D116A" w:rsidR="001106C1" w:rsidRPr="001106C1" w:rsidRDefault="001106C1" w:rsidP="001E0A1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ოქტომბერი</w:t>
            </w:r>
          </w:p>
        </w:tc>
      </w:tr>
      <w:tr w:rsidR="001106C1" w:rsidRPr="00342615" w14:paraId="631FA0B2" w14:textId="77777777" w:rsidTr="001E0A15">
        <w:trPr>
          <w:trHeight w:val="474"/>
        </w:trPr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954A5" w14:textId="77777777" w:rsidR="001106C1" w:rsidRPr="00342615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411C6E" w14:textId="4CE6D899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ოჯახი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C5D50" w14:textId="3EADEF7A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პირი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C48621" w14:textId="60AD0814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თანხა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5A5F15" w14:textId="1EE7621F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ოჯახი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FE59DC" w14:textId="48130948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პირი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A0D5C" w14:textId="65181C09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თანხა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6F645B" w14:textId="76D2AB17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ოჯახი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69BA1F" w14:textId="5B058593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პირი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16008B" w14:textId="23F36F5A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თანხა</w:t>
            </w:r>
          </w:p>
        </w:tc>
      </w:tr>
      <w:tr w:rsidR="001106C1" w:rsidRPr="00342615" w14:paraId="2860B80A" w14:textId="77777777" w:rsidTr="001E0A15">
        <w:trPr>
          <w:trHeight w:val="474"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C273" w14:textId="77777777" w:rsidR="001106C1" w:rsidRPr="00342615" w:rsidRDefault="001106C1" w:rsidP="001E0A15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A44B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7</w:t>
            </w:r>
            <w:r>
              <w:rPr>
                <w:rFonts w:cstheme="minorHAnsi"/>
                <w:color w:val="000000"/>
                <w:sz w:val="16"/>
                <w:szCs w:val="16"/>
              </w:rPr>
              <w:t>4</w:t>
            </w:r>
            <w:r w:rsidRPr="00342615">
              <w:rPr>
                <w:rFonts w:cstheme="minorHAnsi"/>
                <w:color w:val="000000"/>
                <w:sz w:val="16"/>
                <w:szCs w:val="16"/>
              </w:rPr>
              <w:t>,5</w:t>
            </w:r>
            <w:r>
              <w:rPr>
                <w:rFonts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CE60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209,417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1FC1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8,</w:t>
            </w:r>
            <w:r>
              <w:rPr>
                <w:rFonts w:cstheme="minorHAnsi"/>
                <w:color w:val="000000"/>
                <w:sz w:val="16"/>
                <w:szCs w:val="16"/>
              </w:rPr>
              <w:t>507</w:t>
            </w:r>
            <w:r w:rsidRPr="00342615">
              <w:rPr>
                <w:rFonts w:cstheme="minorHAnsi"/>
                <w:color w:val="000000"/>
                <w:sz w:val="16"/>
                <w:szCs w:val="16"/>
              </w:rPr>
              <w:t>,</w:t>
            </w:r>
            <w:r>
              <w:rPr>
                <w:rFonts w:cstheme="minorHAns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F1A6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76,850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5289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216,868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1474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8,796,630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994E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78,642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2625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222,753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26FE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9,024,710</w:t>
            </w:r>
          </w:p>
        </w:tc>
      </w:tr>
    </w:tbl>
    <w:p w14:paraId="21812257" w14:textId="77777777" w:rsidR="001106C1" w:rsidRDefault="001106C1" w:rsidP="001106C1">
      <w:pPr>
        <w:pStyle w:val="ListParagraph"/>
        <w:rPr>
          <w:b/>
        </w:rPr>
      </w:pPr>
    </w:p>
    <w:p w14:paraId="48822BF7" w14:textId="66428856" w:rsidR="001106C1" w:rsidRPr="001106C1" w:rsidRDefault="001106C1" w:rsidP="00D21BDD">
      <w:pPr>
        <w:pStyle w:val="ListParagraph"/>
        <w:numPr>
          <w:ilvl w:val="0"/>
          <w:numId w:val="37"/>
        </w:numPr>
      </w:pPr>
      <w:r w:rsidRPr="001106C1">
        <w:rPr>
          <w:b/>
          <w:u w:val="single"/>
          <w:lang w:val="ka-GE"/>
        </w:rPr>
        <w:t>100</w:t>
      </w:r>
      <w:r w:rsidR="008A777F">
        <w:rPr>
          <w:b/>
          <w:u w:val="single"/>
          <w:lang w:val="ka-GE"/>
        </w:rPr>
        <w:t>,</w:t>
      </w:r>
      <w:r w:rsidRPr="001106C1">
        <w:rPr>
          <w:b/>
          <w:u w:val="single"/>
          <w:lang w:val="ka-GE"/>
        </w:rPr>
        <w:t xml:space="preserve">001 სარეიტინგო </w:t>
      </w:r>
      <w:r>
        <w:rPr>
          <w:b/>
          <w:u w:val="single"/>
          <w:lang w:val="ka-GE"/>
        </w:rPr>
        <w:t xml:space="preserve">ქულის მქონე ოჯახები, რომელთაც ჰყავთ 3 ან 3-ზე მეტი 0-დან 16 წლის ასაკის ჩათვლით ბავშვი </w:t>
      </w:r>
    </w:p>
    <w:p w14:paraId="7B977B05" w14:textId="77777777" w:rsidR="00992E1C" w:rsidRDefault="00992E1C" w:rsidP="00992E1C">
      <w:pPr>
        <w:pStyle w:val="ListParagraph"/>
        <w:ind w:left="1440"/>
        <w:jc w:val="both"/>
        <w:rPr>
          <w:lang w:val="ka-GE"/>
        </w:rPr>
      </w:pPr>
    </w:p>
    <w:p w14:paraId="02E3E366" w14:textId="45DE266F" w:rsidR="00992E1C" w:rsidRPr="00992E1C" w:rsidRDefault="00992E1C" w:rsidP="00992E1C">
      <w:pPr>
        <w:pStyle w:val="ListParagraph"/>
        <w:ind w:left="1440"/>
        <w:jc w:val="both"/>
        <w:rPr>
          <w:lang w:val="ka-GE"/>
        </w:rPr>
      </w:pPr>
      <w:r>
        <w:rPr>
          <w:lang w:val="ka-GE"/>
        </w:rPr>
        <w:t>2020 წლის მაისი - ოქტომბრის პერიოდში</w:t>
      </w:r>
      <w:r>
        <w:rPr>
          <w:lang w:val="ka-GE"/>
        </w:rPr>
        <w:t xml:space="preserve"> ოჯახებზე, რომელთა </w:t>
      </w:r>
      <w:r>
        <w:rPr>
          <w:lang w:val="ka-GE"/>
        </w:rPr>
        <w:t>100,001</w:t>
      </w:r>
      <w:r>
        <w:rPr>
          <w:lang w:val="ka-GE"/>
        </w:rPr>
        <w:t xml:space="preserve">-მდე სარეიტინგო ქულის მქონე ოჯახებზე, რომელთაც ჰყავთ 3 ან 3-ზე მეტი 0-დან 16 წლამდე ასაკის ჩათვლით ბავშვი, </w:t>
      </w:r>
      <w:r>
        <w:rPr>
          <w:lang w:val="ka-GE"/>
        </w:rPr>
        <w:t xml:space="preserve">ანაზღაურების სახით </w:t>
      </w:r>
      <w:r>
        <w:rPr>
          <w:lang w:val="ka-GE"/>
        </w:rPr>
        <w:t xml:space="preserve">საერთო ჯამში </w:t>
      </w:r>
      <w:r>
        <w:rPr>
          <w:lang w:val="ka-GE"/>
        </w:rPr>
        <w:t xml:space="preserve">გაცემულია </w:t>
      </w:r>
      <w:r>
        <w:rPr>
          <w:lang w:val="ka-GE"/>
        </w:rPr>
        <w:t>14</w:t>
      </w:r>
      <w:r>
        <w:rPr>
          <w:lang w:val="ka-GE"/>
        </w:rPr>
        <w:t>,</w:t>
      </w:r>
      <w:r>
        <w:rPr>
          <w:lang w:val="ka-GE"/>
        </w:rPr>
        <w:t>285</w:t>
      </w:r>
      <w:r>
        <w:rPr>
          <w:lang w:val="ka-GE"/>
        </w:rPr>
        <w:t xml:space="preserve">,335 ლარი. </w:t>
      </w:r>
      <w:r w:rsidR="002548F0">
        <w:rPr>
          <w:lang w:val="ka-GE"/>
        </w:rPr>
        <w:t xml:space="preserve">აღნიშნული მხარდაჭერით ყოველთვიურად სარგებლობდა საშუალოდ </w:t>
      </w:r>
      <w:r w:rsidR="002548F0">
        <w:rPr>
          <w:lang w:val="ka-GE"/>
        </w:rPr>
        <w:t>23</w:t>
      </w:r>
      <w:r w:rsidR="002548F0">
        <w:rPr>
          <w:lang w:val="ka-GE"/>
        </w:rPr>
        <w:t>,000 ოჯახი, ხოლო საშუალო ყოველთვიური ანაზღაურება შეადგენდა</w:t>
      </w:r>
      <w:r w:rsidR="002548F0">
        <w:rPr>
          <w:lang w:val="ka-GE"/>
        </w:rPr>
        <w:t xml:space="preserve"> 2.4</w:t>
      </w:r>
      <w:r w:rsidR="002548F0">
        <w:rPr>
          <w:lang w:val="ka-GE"/>
        </w:rPr>
        <w:t xml:space="preserve"> მილიონ ლარს.</w:t>
      </w:r>
    </w:p>
    <w:tbl>
      <w:tblPr>
        <w:tblW w:w="10044" w:type="dxa"/>
        <w:tblInd w:w="-5" w:type="dxa"/>
        <w:tblLook w:val="04A0" w:firstRow="1" w:lastRow="0" w:firstColumn="1" w:lastColumn="0" w:noHBand="0" w:noVBand="1"/>
      </w:tblPr>
      <w:tblGrid>
        <w:gridCol w:w="2430"/>
        <w:gridCol w:w="900"/>
        <w:gridCol w:w="810"/>
        <w:gridCol w:w="864"/>
        <w:gridCol w:w="846"/>
        <w:gridCol w:w="810"/>
        <w:gridCol w:w="900"/>
        <w:gridCol w:w="810"/>
        <w:gridCol w:w="810"/>
        <w:gridCol w:w="864"/>
      </w:tblGrid>
      <w:tr w:rsidR="001106C1" w:rsidRPr="00342615" w14:paraId="59795328" w14:textId="77777777" w:rsidTr="001E0A15">
        <w:trPr>
          <w:trHeight w:val="474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6E50D0" w14:textId="1F918A0A" w:rsidR="001106C1" w:rsidRPr="00342615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კატეგორიები:</w:t>
            </w:r>
            <w:r w:rsidRPr="00342615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1F3CD0" w14:textId="5E702ED5" w:rsidR="001106C1" w:rsidRPr="001106C1" w:rsidRDefault="001106C1" w:rsidP="001E0A1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მაისი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6CDE23" w14:textId="4F0E9150" w:rsidR="001106C1" w:rsidRPr="001106C1" w:rsidRDefault="001106C1" w:rsidP="001E0A1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ივნისი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2D81A" w14:textId="49D3764D" w:rsidR="001106C1" w:rsidRPr="001106C1" w:rsidRDefault="001106C1" w:rsidP="001E0A1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ივლისი</w:t>
            </w:r>
          </w:p>
        </w:tc>
      </w:tr>
      <w:tr w:rsidR="001106C1" w:rsidRPr="00342615" w14:paraId="64E327F3" w14:textId="77777777" w:rsidTr="001E0A15">
        <w:trPr>
          <w:trHeight w:val="474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80D16" w14:textId="77777777" w:rsidR="001106C1" w:rsidRPr="00342615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9AB983" w14:textId="631159F6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ოჯახი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CBE375" w14:textId="1309894E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პირი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E1C58F" w14:textId="1201562F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თანხა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64F8C9" w14:textId="412F6DEA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ოჯახი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A8F7FC" w14:textId="47085083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პირი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3E4489" w14:textId="5D47D24D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თანხა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D7E1E8" w14:textId="5AF6E0BE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ოჯახი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026C95" w14:textId="2A14F219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პირი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0C5344" w14:textId="0F3FC073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თანხა</w:t>
            </w:r>
          </w:p>
        </w:tc>
      </w:tr>
      <w:tr w:rsidR="001106C1" w:rsidRPr="00342615" w14:paraId="22208D16" w14:textId="77777777" w:rsidTr="001E0A15">
        <w:trPr>
          <w:trHeight w:val="739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4C50" w14:textId="1E42083B" w:rsidR="001106C1" w:rsidRPr="001106C1" w:rsidRDefault="001106C1" w:rsidP="001106C1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106C1">
              <w:rPr>
                <w:rFonts w:cstheme="minorHAnsi"/>
                <w:color w:val="000000"/>
                <w:sz w:val="16"/>
                <w:szCs w:val="16"/>
              </w:rPr>
              <w:t>100</w:t>
            </w:r>
            <w:r w:rsidR="008A777F">
              <w:rPr>
                <w:rFonts w:cstheme="minorHAnsi"/>
                <w:color w:val="000000"/>
                <w:sz w:val="16"/>
                <w:szCs w:val="16"/>
                <w:lang w:val="ka-GE"/>
              </w:rPr>
              <w:t>,</w:t>
            </w:r>
            <w:r w:rsidRPr="001106C1">
              <w:rPr>
                <w:rFonts w:cstheme="minorHAnsi"/>
                <w:color w:val="000000"/>
                <w:sz w:val="16"/>
                <w:szCs w:val="16"/>
              </w:rPr>
              <w:t xml:space="preserve">001 </w:t>
            </w:r>
            <w:proofErr w:type="spellStart"/>
            <w:r w:rsidRPr="001106C1">
              <w:rPr>
                <w:rFonts w:cstheme="minorHAnsi"/>
                <w:color w:val="000000"/>
                <w:sz w:val="16"/>
                <w:szCs w:val="16"/>
              </w:rPr>
              <w:t>სარეიტინგო</w:t>
            </w:r>
            <w:proofErr w:type="spellEnd"/>
            <w:r w:rsidRPr="001106C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06C1">
              <w:rPr>
                <w:rFonts w:cstheme="minorHAnsi"/>
                <w:color w:val="000000"/>
                <w:sz w:val="16"/>
                <w:szCs w:val="16"/>
              </w:rPr>
              <w:t>ქულის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1106C1">
              <w:rPr>
                <w:rFonts w:cstheme="minorHAnsi"/>
                <w:color w:val="000000"/>
                <w:sz w:val="16"/>
                <w:szCs w:val="16"/>
              </w:rPr>
              <w:t>მქონე</w:t>
            </w:r>
            <w:proofErr w:type="spellEnd"/>
            <w:r w:rsidRPr="001106C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06C1">
              <w:rPr>
                <w:rFonts w:cstheme="minorHAnsi"/>
                <w:color w:val="000000"/>
                <w:sz w:val="16"/>
                <w:szCs w:val="16"/>
              </w:rPr>
              <w:t>ოჯახები</w:t>
            </w:r>
            <w:proofErr w:type="spellEnd"/>
            <w:r w:rsidRPr="001106C1"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06C1">
              <w:rPr>
                <w:rFonts w:cstheme="minorHAnsi"/>
                <w:color w:val="000000"/>
                <w:sz w:val="16"/>
                <w:szCs w:val="16"/>
              </w:rPr>
              <w:t>რომელთაც</w:t>
            </w:r>
            <w:proofErr w:type="spellEnd"/>
            <w:r w:rsidRPr="001106C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06C1">
              <w:rPr>
                <w:rFonts w:cstheme="minorHAnsi"/>
                <w:color w:val="000000"/>
                <w:sz w:val="16"/>
                <w:szCs w:val="16"/>
              </w:rPr>
              <w:t>ჰყავთ</w:t>
            </w:r>
            <w:proofErr w:type="spellEnd"/>
            <w:r w:rsidRPr="001106C1">
              <w:rPr>
                <w:rFonts w:cstheme="minorHAnsi"/>
                <w:color w:val="000000"/>
                <w:sz w:val="16"/>
                <w:szCs w:val="16"/>
              </w:rPr>
              <w:t xml:space="preserve"> 3 ან 3-ზე მეტი 0-დან 16 წლის ასაკის ჩათვლით ბავშვი </w:t>
            </w:r>
          </w:p>
          <w:p w14:paraId="798083B8" w14:textId="26EE6EBF" w:rsidR="001106C1" w:rsidRPr="00342615" w:rsidRDefault="001106C1" w:rsidP="001E0A15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2001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22,644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B171" w14:textId="6A8B12EE" w:rsidR="001106C1" w:rsidRPr="00992E1C" w:rsidRDefault="001106C1" w:rsidP="00992E1C">
            <w:pPr>
              <w:jc w:val="right"/>
              <w:rPr>
                <w:rFonts w:cstheme="minorHAnsi"/>
                <w:color w:val="000000"/>
                <w:sz w:val="16"/>
                <w:szCs w:val="16"/>
                <w:lang w:val="ka-GE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139,</w:t>
            </w:r>
            <w:r w:rsidR="00992E1C">
              <w:rPr>
                <w:rFonts w:cstheme="minorHAnsi"/>
                <w:color w:val="000000"/>
                <w:sz w:val="16"/>
                <w:szCs w:val="16"/>
                <w:lang w:val="ka-GE"/>
              </w:rPr>
              <w:t>566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DED2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2,264,400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DC8E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22,903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16C2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141,428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C022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2,291,700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9FE8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23,350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7308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143,956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B507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42615">
              <w:rPr>
                <w:rFonts w:cstheme="minorHAnsi"/>
                <w:color w:val="000000"/>
                <w:sz w:val="16"/>
                <w:szCs w:val="16"/>
              </w:rPr>
              <w:t>2,335,400</w:t>
            </w:r>
          </w:p>
        </w:tc>
      </w:tr>
      <w:tr w:rsidR="001106C1" w:rsidRPr="00342615" w14:paraId="52E92692" w14:textId="77777777" w:rsidTr="001E0A15">
        <w:trPr>
          <w:trHeight w:val="474"/>
        </w:trPr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D139AA" w14:textId="77777777" w:rsidR="001106C1" w:rsidRPr="00342615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9E2332" w14:textId="2A8DF1E5" w:rsidR="001106C1" w:rsidRPr="001106C1" w:rsidRDefault="001106C1" w:rsidP="001E0A1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აგვისტო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B91959" w14:textId="6117D99D" w:rsidR="001106C1" w:rsidRPr="001106C1" w:rsidRDefault="001106C1" w:rsidP="001E0A1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სექტემბერი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0E1930" w14:textId="21585F18" w:rsidR="001106C1" w:rsidRPr="001106C1" w:rsidRDefault="001106C1" w:rsidP="001E0A1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ოქტომბერი</w:t>
            </w:r>
          </w:p>
        </w:tc>
      </w:tr>
      <w:tr w:rsidR="001106C1" w:rsidRPr="00342615" w14:paraId="6A9F0143" w14:textId="77777777" w:rsidTr="001E0A15">
        <w:trPr>
          <w:trHeight w:val="474"/>
        </w:trPr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798A9A" w14:textId="77777777" w:rsidR="001106C1" w:rsidRPr="00342615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70E70" w14:textId="315FE9B2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ოჯახი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81A606" w14:textId="660D783F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პირი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AE4A9" w14:textId="3EA47ED3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თანხა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B2EEE1" w14:textId="02ABCA48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ოჯახი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82EC27" w14:textId="4D74CF71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პირი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79C5" w14:textId="0C59F5F7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თანხა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0E6019" w14:textId="451A2DD4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ოჯახი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895747" w14:textId="188488ED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პირი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E62179" w14:textId="14A313CC" w:rsidR="001106C1" w:rsidRPr="001106C1" w:rsidRDefault="001106C1" w:rsidP="001E0A15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val="ka-GE"/>
              </w:rPr>
              <w:t>თანხა</w:t>
            </w:r>
          </w:p>
        </w:tc>
      </w:tr>
      <w:tr w:rsidR="001106C1" w:rsidRPr="00342615" w14:paraId="3D0A6D7C" w14:textId="77777777" w:rsidTr="0022166E">
        <w:trPr>
          <w:trHeight w:val="530"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4D2A" w14:textId="77777777" w:rsidR="001106C1" w:rsidRPr="00342615" w:rsidRDefault="001106C1" w:rsidP="001E0A15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3EB1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24,070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DEA6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148,303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51AF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2,409,400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7614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24,655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8606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151,902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8D30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2,467,700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51C4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25,154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9230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154,970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07F0" w14:textId="77777777" w:rsidR="001106C1" w:rsidRPr="00342615" w:rsidRDefault="001106C1" w:rsidP="001E0A15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2,517,000</w:t>
            </w:r>
          </w:p>
        </w:tc>
      </w:tr>
    </w:tbl>
    <w:p w14:paraId="4D807EFB" w14:textId="23187B55" w:rsidR="001106C1" w:rsidRPr="002E5173" w:rsidRDefault="002E5173" w:rsidP="00842265">
      <w:pPr>
        <w:jc w:val="both"/>
        <w:rPr>
          <w:b/>
        </w:rPr>
      </w:pPr>
      <w:r>
        <w:rPr>
          <w:lang w:val="ka-GE"/>
        </w:rPr>
        <w:lastRenderedPageBreak/>
        <w:t xml:space="preserve">2020 წლის განმავლობაში </w:t>
      </w:r>
      <w:r w:rsidRPr="00842265">
        <w:rPr>
          <w:b/>
          <w:lang w:val="ka-GE"/>
        </w:rPr>
        <w:t xml:space="preserve">სსიპ </w:t>
      </w:r>
      <w:r w:rsidRPr="00842265">
        <w:rPr>
          <w:b/>
          <w:lang w:val="ka-GE"/>
        </w:rPr>
        <w:t>დასაქმების ხელშეწყობის სახელმწიფო სააგენტოს</w:t>
      </w:r>
      <w:r>
        <w:rPr>
          <w:lang w:val="ka-GE"/>
        </w:rPr>
        <w:t xml:space="preserve"> </w:t>
      </w:r>
      <w:r>
        <w:rPr>
          <w:lang w:val="ka-GE"/>
        </w:rPr>
        <w:t xml:space="preserve"> მიერ </w:t>
      </w:r>
      <w:r w:rsidR="00842265">
        <w:rPr>
          <w:lang w:val="ka-GE"/>
        </w:rPr>
        <w:t>განხორციელდა შემდეგი სახის კომპენსაციების გაცემა:</w:t>
      </w:r>
    </w:p>
    <w:p w14:paraId="55944663" w14:textId="7D16DAF4" w:rsidR="001106C1" w:rsidRDefault="00842265" w:rsidP="00842265">
      <w:pPr>
        <w:pStyle w:val="ListParagraph"/>
        <w:numPr>
          <w:ilvl w:val="0"/>
          <w:numId w:val="38"/>
        </w:numPr>
        <w:rPr>
          <w:b/>
        </w:rPr>
      </w:pPr>
      <w:r>
        <w:rPr>
          <w:b/>
          <w:lang w:val="ka-GE"/>
        </w:rPr>
        <w:t>200 ლარიანი ფულადი კომპენსაციები (6 თვის განმავლობაში)</w:t>
      </w:r>
    </w:p>
    <w:p w14:paraId="01F44611" w14:textId="4D24E142" w:rsidR="001106C1" w:rsidRDefault="00842265" w:rsidP="00842265">
      <w:pPr>
        <w:ind w:left="1440"/>
        <w:jc w:val="both"/>
      </w:pPr>
      <w:r w:rsidRPr="0059242F">
        <w:rPr>
          <w:color w:val="000000"/>
          <w:shd w:val="clear" w:color="auto" w:fill="FFFFFF"/>
          <w:lang w:val="ka-GE"/>
        </w:rPr>
        <w:t xml:space="preserve">შედეგად 6 თვიანი კომპენსაცია ჯამში მიიღო </w:t>
      </w:r>
      <w:r>
        <w:rPr>
          <w:color w:val="000000"/>
          <w:shd w:val="clear" w:color="auto" w:fill="FFFFFF"/>
          <w:lang w:val="ka-GE"/>
        </w:rPr>
        <w:t>162,</w:t>
      </w:r>
      <w:r w:rsidRPr="0059242F">
        <w:rPr>
          <w:color w:val="000000"/>
          <w:shd w:val="clear" w:color="auto" w:fill="FFFFFF"/>
          <w:lang w:val="ka-GE"/>
        </w:rPr>
        <w:t>271 პირმა</w:t>
      </w:r>
      <w:r>
        <w:rPr>
          <w:color w:val="000000"/>
          <w:shd w:val="clear" w:color="auto" w:fill="FFFFFF"/>
          <w:lang w:val="ka-GE"/>
        </w:rPr>
        <w:t xml:space="preserve">, ხოლო კომპენსაციის მოცულობამ ჯამში შეადგინა </w:t>
      </w:r>
      <w:r w:rsidRPr="0059242F">
        <w:rPr>
          <w:color w:val="000000"/>
          <w:shd w:val="clear" w:color="auto" w:fill="FFFFFF"/>
          <w:lang w:val="ka-GE"/>
        </w:rPr>
        <w:t>131</w:t>
      </w:r>
      <w:r>
        <w:rPr>
          <w:color w:val="000000"/>
          <w:shd w:val="clear" w:color="auto" w:fill="FFFFFF"/>
          <w:lang w:val="ka-GE"/>
        </w:rPr>
        <w:t>,</w:t>
      </w:r>
      <w:r w:rsidRPr="0059242F">
        <w:rPr>
          <w:color w:val="000000"/>
          <w:shd w:val="clear" w:color="auto" w:fill="FFFFFF"/>
          <w:lang w:val="ka-GE"/>
        </w:rPr>
        <w:t>237</w:t>
      </w:r>
      <w:r>
        <w:rPr>
          <w:color w:val="000000"/>
          <w:shd w:val="clear" w:color="auto" w:fill="FFFFFF"/>
          <w:lang w:val="ka-GE"/>
        </w:rPr>
        <w:t>,</w:t>
      </w:r>
      <w:r w:rsidRPr="0059242F">
        <w:rPr>
          <w:color w:val="000000"/>
          <w:shd w:val="clear" w:color="auto" w:fill="FFFFFF"/>
          <w:lang w:val="ka-GE"/>
        </w:rPr>
        <w:t>800 ლარი.</w:t>
      </w:r>
    </w:p>
    <w:p w14:paraId="1330B3CC" w14:textId="191B7415" w:rsidR="001106C1" w:rsidRDefault="00842265" w:rsidP="001106C1">
      <w:pPr>
        <w:pStyle w:val="ListParagraph"/>
        <w:ind w:left="1440"/>
        <w:rPr>
          <w:lang w:val="ka-GE"/>
        </w:rPr>
      </w:pPr>
      <w:r>
        <w:rPr>
          <w:lang w:val="ka-GE"/>
        </w:rPr>
        <w:t>ბენეფიციართა გადანაწილება თვეებისა და გადარიცხული თახნების მიხედცით არის შემდეგი:</w:t>
      </w:r>
    </w:p>
    <w:p w14:paraId="5B314B5A" w14:textId="77777777" w:rsidR="00842265" w:rsidRDefault="00842265" w:rsidP="001106C1">
      <w:pPr>
        <w:pStyle w:val="ListParagraph"/>
        <w:ind w:left="1440"/>
        <w:rPr>
          <w:lang w:val="ka-GE"/>
        </w:rPr>
      </w:pPr>
    </w:p>
    <w:p w14:paraId="4E6E66BD" w14:textId="53BEDB42" w:rsidR="001106C1" w:rsidRDefault="001106C1" w:rsidP="001106C1">
      <w:pPr>
        <w:pStyle w:val="ListParagraph"/>
        <w:numPr>
          <w:ilvl w:val="0"/>
          <w:numId w:val="35"/>
        </w:numPr>
      </w:pPr>
      <w:r>
        <w:t xml:space="preserve">78,975 </w:t>
      </w:r>
      <w:r w:rsidR="00842265">
        <w:rPr>
          <w:lang w:val="ka-GE"/>
        </w:rPr>
        <w:t>ინდივიდმა მიიღო 6-ჯერ</w:t>
      </w:r>
    </w:p>
    <w:p w14:paraId="7C683207" w14:textId="13F4E53B" w:rsidR="001106C1" w:rsidRDefault="001106C1" w:rsidP="001106C1">
      <w:pPr>
        <w:pStyle w:val="ListParagraph"/>
        <w:numPr>
          <w:ilvl w:val="0"/>
          <w:numId w:val="35"/>
        </w:numPr>
      </w:pPr>
      <w:r>
        <w:t xml:space="preserve">6,466 </w:t>
      </w:r>
      <w:r w:rsidR="00842265">
        <w:rPr>
          <w:lang w:val="ka-GE"/>
        </w:rPr>
        <w:t>ინდივიდმა მიიღო 5-ჯერ</w:t>
      </w:r>
      <w:r>
        <w:t xml:space="preserve"> </w:t>
      </w:r>
    </w:p>
    <w:p w14:paraId="445440C9" w14:textId="79441062" w:rsidR="001106C1" w:rsidRDefault="001106C1" w:rsidP="001106C1">
      <w:pPr>
        <w:pStyle w:val="ListParagraph"/>
        <w:numPr>
          <w:ilvl w:val="0"/>
          <w:numId w:val="35"/>
        </w:numPr>
      </w:pPr>
      <w:r>
        <w:t>6,869</w:t>
      </w:r>
      <w:r w:rsidR="00961F1A">
        <w:rPr>
          <w:lang w:val="ka-GE"/>
        </w:rPr>
        <w:t xml:space="preserve"> ინდივიდმა მიიღო 4-ჯერ </w:t>
      </w:r>
    </w:p>
    <w:p w14:paraId="6F463DCD" w14:textId="373F9127" w:rsidR="001106C1" w:rsidRDefault="001106C1" w:rsidP="001106C1">
      <w:pPr>
        <w:pStyle w:val="ListParagraph"/>
        <w:numPr>
          <w:ilvl w:val="0"/>
          <w:numId w:val="35"/>
        </w:numPr>
      </w:pPr>
      <w:r>
        <w:t>14,068</w:t>
      </w:r>
      <w:r w:rsidR="00961F1A">
        <w:rPr>
          <w:lang w:val="ka-GE"/>
        </w:rPr>
        <w:t xml:space="preserve"> ინდივიდმა მიიღო 3 - ჯერ</w:t>
      </w:r>
    </w:p>
    <w:p w14:paraId="74BDD90E" w14:textId="1BD6D73B" w:rsidR="001106C1" w:rsidRDefault="001106C1" w:rsidP="001106C1">
      <w:pPr>
        <w:pStyle w:val="ListParagraph"/>
        <w:numPr>
          <w:ilvl w:val="0"/>
          <w:numId w:val="35"/>
        </w:numPr>
      </w:pPr>
      <w:r>
        <w:t>28,365</w:t>
      </w:r>
      <w:r w:rsidR="00961F1A">
        <w:rPr>
          <w:lang w:val="ka-GE"/>
        </w:rPr>
        <w:t xml:space="preserve"> ინდივიდმა მიიღ 2-ჯერ</w:t>
      </w:r>
      <w:r>
        <w:t xml:space="preserve"> </w:t>
      </w:r>
    </w:p>
    <w:p w14:paraId="323CEA65" w14:textId="0BFB3486" w:rsidR="001106C1" w:rsidRDefault="001106C1" w:rsidP="001106C1">
      <w:pPr>
        <w:pStyle w:val="ListParagraph"/>
        <w:numPr>
          <w:ilvl w:val="0"/>
          <w:numId w:val="35"/>
        </w:numPr>
      </w:pPr>
      <w:r>
        <w:t>27,528</w:t>
      </w:r>
      <w:r w:rsidR="00961F1A">
        <w:rPr>
          <w:lang w:val="ka-GE"/>
        </w:rPr>
        <w:t xml:space="preserve"> ინდივიდმა მიიღო ერთხელ </w:t>
      </w:r>
    </w:p>
    <w:p w14:paraId="65F8E55A" w14:textId="77777777" w:rsidR="001106C1" w:rsidRDefault="001106C1" w:rsidP="001106C1">
      <w:pPr>
        <w:pStyle w:val="ListParagraph"/>
        <w:ind w:left="2160"/>
      </w:pPr>
    </w:p>
    <w:p w14:paraId="1883A489" w14:textId="64B6E328" w:rsidR="001106C1" w:rsidRDefault="00926EF4" w:rsidP="00842265">
      <w:pPr>
        <w:pStyle w:val="ListParagraph"/>
        <w:numPr>
          <w:ilvl w:val="0"/>
          <w:numId w:val="38"/>
        </w:numPr>
        <w:rPr>
          <w:b/>
        </w:rPr>
      </w:pPr>
      <w:r>
        <w:rPr>
          <w:b/>
          <w:lang w:val="ka-GE"/>
        </w:rPr>
        <w:t>ერთჯერადი 300 ლარიანი ფულადი კომპენსაცია</w:t>
      </w:r>
    </w:p>
    <w:p w14:paraId="5885E72D" w14:textId="3714FAA3" w:rsidR="0023760D" w:rsidRPr="0023760D" w:rsidRDefault="0023760D" w:rsidP="0023760D">
      <w:pPr>
        <w:ind w:left="1440"/>
        <w:jc w:val="both"/>
        <w:rPr>
          <w:color w:val="000000"/>
          <w:shd w:val="clear" w:color="auto" w:fill="FFFFFF"/>
          <w:lang w:val="ka-GE"/>
        </w:rPr>
      </w:pPr>
      <w:r>
        <w:rPr>
          <w:color w:val="000000"/>
          <w:shd w:val="clear" w:color="auto" w:fill="FFFFFF"/>
          <w:lang w:val="ka-GE"/>
        </w:rPr>
        <w:t>2020 წლის განმავლობაში</w:t>
      </w:r>
      <w:r w:rsidRPr="0023760D">
        <w:rPr>
          <w:color w:val="000000"/>
          <w:shd w:val="clear" w:color="auto" w:fill="FFFFFF"/>
          <w:lang w:val="ka-GE"/>
        </w:rPr>
        <w:t xml:space="preserve"> 300 ლარიანი ერთჯერადი კომპენსაცია </w:t>
      </w:r>
      <w:r>
        <w:rPr>
          <w:color w:val="000000"/>
          <w:shd w:val="clear" w:color="auto" w:fill="FFFFFF"/>
          <w:lang w:val="ka-GE"/>
        </w:rPr>
        <w:t>საერთო ჯამში მიიღო</w:t>
      </w:r>
      <w:r w:rsidRPr="0023760D">
        <w:rPr>
          <w:color w:val="000000"/>
          <w:shd w:val="clear" w:color="auto" w:fill="FFFFFF"/>
          <w:lang w:val="ka-GE"/>
        </w:rPr>
        <w:t xml:space="preserve"> 369</w:t>
      </w:r>
      <w:r w:rsidR="0012622F">
        <w:rPr>
          <w:color w:val="000000"/>
          <w:shd w:val="clear" w:color="auto" w:fill="FFFFFF"/>
          <w:lang w:val="ka-GE"/>
        </w:rPr>
        <w:t>,</w:t>
      </w:r>
      <w:bookmarkStart w:id="0" w:name="_GoBack"/>
      <w:bookmarkEnd w:id="0"/>
      <w:r w:rsidRPr="0023760D">
        <w:rPr>
          <w:color w:val="000000"/>
          <w:shd w:val="clear" w:color="auto" w:fill="FFFFFF"/>
          <w:lang w:val="ka-GE"/>
        </w:rPr>
        <w:t>275 პირმა</w:t>
      </w:r>
      <w:r>
        <w:rPr>
          <w:color w:val="000000"/>
          <w:shd w:val="clear" w:color="auto" w:fill="FFFFFF"/>
          <w:lang w:val="ka-GE"/>
        </w:rPr>
        <w:t xml:space="preserve">, ხოლო კომპენსაციის სახით გაცემული თანხის მოცულობა შეადგენს </w:t>
      </w:r>
      <w:r w:rsidRPr="0023760D">
        <w:rPr>
          <w:color w:val="000000"/>
          <w:shd w:val="clear" w:color="auto" w:fill="FFFFFF"/>
          <w:lang w:val="ka-GE"/>
        </w:rPr>
        <w:t>110</w:t>
      </w:r>
      <w:r>
        <w:rPr>
          <w:color w:val="000000"/>
          <w:shd w:val="clear" w:color="auto" w:fill="FFFFFF"/>
          <w:lang w:val="ka-GE"/>
        </w:rPr>
        <w:t>,</w:t>
      </w:r>
      <w:r w:rsidRPr="0023760D">
        <w:rPr>
          <w:color w:val="000000"/>
          <w:shd w:val="clear" w:color="auto" w:fill="FFFFFF"/>
          <w:lang w:val="ka-GE"/>
        </w:rPr>
        <w:t>782</w:t>
      </w:r>
      <w:r>
        <w:rPr>
          <w:color w:val="000000"/>
          <w:shd w:val="clear" w:color="auto" w:fill="FFFFFF"/>
          <w:lang w:val="ka-GE"/>
        </w:rPr>
        <w:t>,</w:t>
      </w:r>
      <w:r w:rsidRPr="0023760D">
        <w:rPr>
          <w:color w:val="000000"/>
          <w:shd w:val="clear" w:color="auto" w:fill="FFFFFF"/>
          <w:lang w:val="ka-GE"/>
        </w:rPr>
        <w:t xml:space="preserve">400 </w:t>
      </w:r>
      <w:r w:rsidR="007C1089">
        <w:rPr>
          <w:color w:val="000000"/>
          <w:shd w:val="clear" w:color="auto" w:fill="FFFFFF"/>
          <w:lang w:val="ka-GE"/>
        </w:rPr>
        <w:t>ლარს</w:t>
      </w:r>
      <w:r w:rsidRPr="0023760D">
        <w:rPr>
          <w:color w:val="000000"/>
          <w:shd w:val="clear" w:color="auto" w:fill="FFFFFF"/>
          <w:lang w:val="ka-GE"/>
        </w:rPr>
        <w:t xml:space="preserve">. </w:t>
      </w:r>
    </w:p>
    <w:p w14:paraId="6565C783" w14:textId="77777777" w:rsidR="00676363" w:rsidRDefault="00676363" w:rsidP="00C661AB">
      <w:pPr>
        <w:jc w:val="both"/>
        <w:rPr>
          <w:b/>
          <w:sz w:val="22"/>
          <w:lang w:val="ka-GE"/>
        </w:rPr>
      </w:pPr>
    </w:p>
    <w:p w14:paraId="07587E14" w14:textId="77777777" w:rsidR="00676363" w:rsidRPr="00676363" w:rsidRDefault="00676363" w:rsidP="00C661AB">
      <w:pPr>
        <w:jc w:val="both"/>
        <w:rPr>
          <w:b/>
          <w:sz w:val="22"/>
          <w:lang w:val="ka-GE"/>
        </w:rPr>
      </w:pPr>
    </w:p>
    <w:p w14:paraId="1F580418" w14:textId="77777777" w:rsidR="004B564A" w:rsidRPr="00681BBC" w:rsidRDefault="004B564A" w:rsidP="00C661AB">
      <w:pPr>
        <w:jc w:val="both"/>
        <w:rPr>
          <w:rFonts w:cs="Arial"/>
          <w:b/>
          <w:sz w:val="22"/>
          <w:lang w:val="ka-GE"/>
        </w:rPr>
      </w:pPr>
    </w:p>
    <w:p w14:paraId="3195978F" w14:textId="77777777" w:rsidR="006B35F0" w:rsidRPr="00681BBC" w:rsidRDefault="006B35F0" w:rsidP="00C661AB">
      <w:pPr>
        <w:jc w:val="both"/>
        <w:rPr>
          <w:rFonts w:cstheme="minorHAnsi"/>
          <w:color w:val="000000"/>
          <w:sz w:val="22"/>
          <w:lang w:val="ka-GE" w:eastAsia="zh-CN"/>
        </w:rPr>
      </w:pPr>
    </w:p>
    <w:sectPr w:rsidR="006B35F0" w:rsidRPr="00681BBC" w:rsidSect="006119F8">
      <w:pgSz w:w="11909" w:h="16834" w:code="9"/>
      <w:pgMar w:top="900" w:right="1019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AB2DD3" w16cid:durableId="23A61CAF"/>
  <w16cid:commentId w16cid:paraId="44F9DB24" w16cid:durableId="23A61CB0"/>
  <w16cid:commentId w16cid:paraId="47DF6509" w16cid:durableId="23A61CB1"/>
  <w16cid:commentId w16cid:paraId="37B38742" w16cid:durableId="23A61CB2"/>
  <w16cid:commentId w16cid:paraId="406E0000" w16cid:durableId="23A61CB3"/>
  <w16cid:commentId w16cid:paraId="119EA208" w16cid:durableId="23A61CB4"/>
  <w16cid:commentId w16cid:paraId="3F415295" w16cid:durableId="23A61CB5"/>
  <w16cid:commentId w16cid:paraId="61006285" w16cid:durableId="23A61C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1CD"/>
    <w:multiLevelType w:val="hybridMultilevel"/>
    <w:tmpl w:val="0672A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91395"/>
    <w:multiLevelType w:val="hybridMultilevel"/>
    <w:tmpl w:val="2ACC3022"/>
    <w:lvl w:ilvl="0" w:tplc="A6D02412">
      <w:start w:val="4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046066B"/>
    <w:multiLevelType w:val="hybridMultilevel"/>
    <w:tmpl w:val="5A640C4E"/>
    <w:lvl w:ilvl="0" w:tplc="90629C3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B61B5"/>
    <w:multiLevelType w:val="hybridMultilevel"/>
    <w:tmpl w:val="43C8C458"/>
    <w:lvl w:ilvl="0" w:tplc="AABC9A52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257ED"/>
    <w:multiLevelType w:val="hybridMultilevel"/>
    <w:tmpl w:val="6902E0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D50B0"/>
    <w:multiLevelType w:val="hybridMultilevel"/>
    <w:tmpl w:val="7EC6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73D02"/>
    <w:multiLevelType w:val="hybridMultilevel"/>
    <w:tmpl w:val="4F46C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140D"/>
    <w:multiLevelType w:val="hybridMultilevel"/>
    <w:tmpl w:val="3A181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77F64"/>
    <w:multiLevelType w:val="hybridMultilevel"/>
    <w:tmpl w:val="CD98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14EFE"/>
    <w:multiLevelType w:val="hybridMultilevel"/>
    <w:tmpl w:val="4B823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C3E97"/>
    <w:multiLevelType w:val="hybridMultilevel"/>
    <w:tmpl w:val="DB92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A7554"/>
    <w:multiLevelType w:val="hybridMultilevel"/>
    <w:tmpl w:val="C67E4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AE5039"/>
    <w:multiLevelType w:val="hybridMultilevel"/>
    <w:tmpl w:val="9FA0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46C41"/>
    <w:multiLevelType w:val="hybridMultilevel"/>
    <w:tmpl w:val="A5A4FF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B473B9"/>
    <w:multiLevelType w:val="hybridMultilevel"/>
    <w:tmpl w:val="9D286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6702D"/>
    <w:multiLevelType w:val="hybridMultilevel"/>
    <w:tmpl w:val="C532AD36"/>
    <w:lvl w:ilvl="0" w:tplc="21AAF5A8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86009"/>
    <w:multiLevelType w:val="hybridMultilevel"/>
    <w:tmpl w:val="20525770"/>
    <w:lvl w:ilvl="0" w:tplc="AABC9A52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4163C"/>
    <w:multiLevelType w:val="hybridMultilevel"/>
    <w:tmpl w:val="3E466C5E"/>
    <w:lvl w:ilvl="0" w:tplc="71A08F4E">
      <w:start w:val="230"/>
      <w:numFmt w:val="bullet"/>
      <w:lvlText w:val=""/>
      <w:lvlJc w:val="left"/>
      <w:pPr>
        <w:ind w:left="1140" w:hanging="4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D870F0"/>
    <w:multiLevelType w:val="hybridMultilevel"/>
    <w:tmpl w:val="157C8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04DBC"/>
    <w:multiLevelType w:val="hybridMultilevel"/>
    <w:tmpl w:val="C93ED9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59B0B8E"/>
    <w:multiLevelType w:val="hybridMultilevel"/>
    <w:tmpl w:val="ED26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21A01"/>
    <w:multiLevelType w:val="hybridMultilevel"/>
    <w:tmpl w:val="8D6C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154AA"/>
    <w:multiLevelType w:val="hybridMultilevel"/>
    <w:tmpl w:val="A5148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33701"/>
    <w:multiLevelType w:val="hybridMultilevel"/>
    <w:tmpl w:val="4B823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F0FFC"/>
    <w:multiLevelType w:val="hybridMultilevel"/>
    <w:tmpl w:val="C95E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23D91"/>
    <w:multiLevelType w:val="hybridMultilevel"/>
    <w:tmpl w:val="34E6C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296287"/>
    <w:multiLevelType w:val="hybridMultilevel"/>
    <w:tmpl w:val="7C02BBF0"/>
    <w:lvl w:ilvl="0" w:tplc="50EE30C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B72C52"/>
    <w:multiLevelType w:val="hybridMultilevel"/>
    <w:tmpl w:val="3AD6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E07F2"/>
    <w:multiLevelType w:val="hybridMultilevel"/>
    <w:tmpl w:val="F36AE4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4863CC"/>
    <w:multiLevelType w:val="hybridMultilevel"/>
    <w:tmpl w:val="15388E50"/>
    <w:lvl w:ilvl="0" w:tplc="7812C88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8B5278A"/>
    <w:multiLevelType w:val="hybridMultilevel"/>
    <w:tmpl w:val="29A02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EE2A63"/>
    <w:multiLevelType w:val="hybridMultilevel"/>
    <w:tmpl w:val="BC24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7153A"/>
    <w:multiLevelType w:val="hybridMultilevel"/>
    <w:tmpl w:val="1F64A5C8"/>
    <w:lvl w:ilvl="0" w:tplc="AABC9A52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A7A08"/>
    <w:multiLevelType w:val="hybridMultilevel"/>
    <w:tmpl w:val="2716B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D95F52"/>
    <w:multiLevelType w:val="hybridMultilevel"/>
    <w:tmpl w:val="52DC43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7F1D78"/>
    <w:multiLevelType w:val="hybridMultilevel"/>
    <w:tmpl w:val="D370E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35E3B"/>
    <w:multiLevelType w:val="hybridMultilevel"/>
    <w:tmpl w:val="1E84FDC8"/>
    <w:lvl w:ilvl="0" w:tplc="4ECECB62">
      <w:numFmt w:val="bullet"/>
      <w:lvlText w:val=""/>
      <w:lvlJc w:val="left"/>
      <w:pPr>
        <w:ind w:left="1140" w:hanging="4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6048FA"/>
    <w:multiLevelType w:val="hybridMultilevel"/>
    <w:tmpl w:val="C412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1"/>
  </w:num>
  <w:num w:numId="3">
    <w:abstractNumId w:val="36"/>
  </w:num>
  <w:num w:numId="4">
    <w:abstractNumId w:val="5"/>
  </w:num>
  <w:num w:numId="5">
    <w:abstractNumId w:val="6"/>
  </w:num>
  <w:num w:numId="6">
    <w:abstractNumId w:val="30"/>
  </w:num>
  <w:num w:numId="7">
    <w:abstractNumId w:val="21"/>
  </w:num>
  <w:num w:numId="8">
    <w:abstractNumId w:val="17"/>
  </w:num>
  <w:num w:numId="9">
    <w:abstractNumId w:val="11"/>
  </w:num>
  <w:num w:numId="10">
    <w:abstractNumId w:val="24"/>
  </w:num>
  <w:num w:numId="11">
    <w:abstractNumId w:val="0"/>
  </w:num>
  <w:num w:numId="12">
    <w:abstractNumId w:val="25"/>
  </w:num>
  <w:num w:numId="13">
    <w:abstractNumId w:val="15"/>
  </w:num>
  <w:num w:numId="14">
    <w:abstractNumId w:val="7"/>
  </w:num>
  <w:num w:numId="15">
    <w:abstractNumId w:val="18"/>
  </w:num>
  <w:num w:numId="16">
    <w:abstractNumId w:val="1"/>
  </w:num>
  <w:num w:numId="17">
    <w:abstractNumId w:val="10"/>
  </w:num>
  <w:num w:numId="18">
    <w:abstractNumId w:val="35"/>
  </w:num>
  <w:num w:numId="19">
    <w:abstractNumId w:val="27"/>
  </w:num>
  <w:num w:numId="20">
    <w:abstractNumId w:val="32"/>
  </w:num>
  <w:num w:numId="21">
    <w:abstractNumId w:val="16"/>
  </w:num>
  <w:num w:numId="22">
    <w:abstractNumId w:val="26"/>
  </w:num>
  <w:num w:numId="23">
    <w:abstractNumId w:val="9"/>
  </w:num>
  <w:num w:numId="24">
    <w:abstractNumId w:val="2"/>
  </w:num>
  <w:num w:numId="25">
    <w:abstractNumId w:val="14"/>
  </w:num>
  <w:num w:numId="26">
    <w:abstractNumId w:val="12"/>
  </w:num>
  <w:num w:numId="27">
    <w:abstractNumId w:val="8"/>
  </w:num>
  <w:num w:numId="28">
    <w:abstractNumId w:val="20"/>
  </w:num>
  <w:num w:numId="29">
    <w:abstractNumId w:val="33"/>
  </w:num>
  <w:num w:numId="30">
    <w:abstractNumId w:val="23"/>
  </w:num>
  <w:num w:numId="31">
    <w:abstractNumId w:val="3"/>
  </w:num>
  <w:num w:numId="32">
    <w:abstractNumId w:val="29"/>
  </w:num>
  <w:num w:numId="33">
    <w:abstractNumId w:val="4"/>
  </w:num>
  <w:num w:numId="34">
    <w:abstractNumId w:val="22"/>
  </w:num>
  <w:num w:numId="35">
    <w:abstractNumId w:val="19"/>
  </w:num>
  <w:num w:numId="36">
    <w:abstractNumId w:val="28"/>
  </w:num>
  <w:num w:numId="37">
    <w:abstractNumId w:val="1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5B"/>
    <w:rsid w:val="00007FC4"/>
    <w:rsid w:val="0005295B"/>
    <w:rsid w:val="0006173A"/>
    <w:rsid w:val="000D2BAD"/>
    <w:rsid w:val="000D3FEC"/>
    <w:rsid w:val="000F1AB5"/>
    <w:rsid w:val="001106C1"/>
    <w:rsid w:val="0012622F"/>
    <w:rsid w:val="00132714"/>
    <w:rsid w:val="0014227B"/>
    <w:rsid w:val="001651F4"/>
    <w:rsid w:val="00191005"/>
    <w:rsid w:val="001A29A0"/>
    <w:rsid w:val="001B531E"/>
    <w:rsid w:val="001D25F2"/>
    <w:rsid w:val="001E3720"/>
    <w:rsid w:val="00214929"/>
    <w:rsid w:val="00217C96"/>
    <w:rsid w:val="0022166E"/>
    <w:rsid w:val="00224E96"/>
    <w:rsid w:val="00236E18"/>
    <w:rsid w:val="0023760D"/>
    <w:rsid w:val="002548F0"/>
    <w:rsid w:val="0026182B"/>
    <w:rsid w:val="002638DF"/>
    <w:rsid w:val="00271D7B"/>
    <w:rsid w:val="002D7155"/>
    <w:rsid w:val="002E5173"/>
    <w:rsid w:val="00341129"/>
    <w:rsid w:val="00345A60"/>
    <w:rsid w:val="003607D8"/>
    <w:rsid w:val="003813D0"/>
    <w:rsid w:val="003945E9"/>
    <w:rsid w:val="003C5440"/>
    <w:rsid w:val="003F0DFC"/>
    <w:rsid w:val="003F2D97"/>
    <w:rsid w:val="00440501"/>
    <w:rsid w:val="004853DA"/>
    <w:rsid w:val="004949E3"/>
    <w:rsid w:val="004A6578"/>
    <w:rsid w:val="004B564A"/>
    <w:rsid w:val="004C5933"/>
    <w:rsid w:val="004F44FF"/>
    <w:rsid w:val="005518C9"/>
    <w:rsid w:val="00574EEE"/>
    <w:rsid w:val="00597C41"/>
    <w:rsid w:val="005A52AA"/>
    <w:rsid w:val="005D0EB1"/>
    <w:rsid w:val="005D4936"/>
    <w:rsid w:val="006119F8"/>
    <w:rsid w:val="00624F94"/>
    <w:rsid w:val="00666624"/>
    <w:rsid w:val="00676363"/>
    <w:rsid w:val="00681BBC"/>
    <w:rsid w:val="006B35F0"/>
    <w:rsid w:val="006F0575"/>
    <w:rsid w:val="00730FAB"/>
    <w:rsid w:val="00732DEE"/>
    <w:rsid w:val="007972E9"/>
    <w:rsid w:val="007C1089"/>
    <w:rsid w:val="00842265"/>
    <w:rsid w:val="00894A75"/>
    <w:rsid w:val="008A777F"/>
    <w:rsid w:val="008B3543"/>
    <w:rsid w:val="008C0591"/>
    <w:rsid w:val="008C2DFC"/>
    <w:rsid w:val="008C3CF9"/>
    <w:rsid w:val="00912EF8"/>
    <w:rsid w:val="00926EF4"/>
    <w:rsid w:val="00961F1A"/>
    <w:rsid w:val="00992E1C"/>
    <w:rsid w:val="009C107A"/>
    <w:rsid w:val="009D227F"/>
    <w:rsid w:val="00A37218"/>
    <w:rsid w:val="00A66FDB"/>
    <w:rsid w:val="00A83962"/>
    <w:rsid w:val="00A95335"/>
    <w:rsid w:val="00AA4A7F"/>
    <w:rsid w:val="00AA6964"/>
    <w:rsid w:val="00AC21CD"/>
    <w:rsid w:val="00AC42A2"/>
    <w:rsid w:val="00B648CC"/>
    <w:rsid w:val="00B90E44"/>
    <w:rsid w:val="00B94082"/>
    <w:rsid w:val="00BD2D66"/>
    <w:rsid w:val="00C02938"/>
    <w:rsid w:val="00C0732C"/>
    <w:rsid w:val="00C174B6"/>
    <w:rsid w:val="00C2244C"/>
    <w:rsid w:val="00C23B6C"/>
    <w:rsid w:val="00C32529"/>
    <w:rsid w:val="00C5725F"/>
    <w:rsid w:val="00C661AB"/>
    <w:rsid w:val="00C937C1"/>
    <w:rsid w:val="00CA4D7E"/>
    <w:rsid w:val="00CF27C8"/>
    <w:rsid w:val="00D019F6"/>
    <w:rsid w:val="00D21BDD"/>
    <w:rsid w:val="00D34481"/>
    <w:rsid w:val="00DA1D52"/>
    <w:rsid w:val="00DA3001"/>
    <w:rsid w:val="00DD2092"/>
    <w:rsid w:val="00DE20FD"/>
    <w:rsid w:val="00DE2246"/>
    <w:rsid w:val="00DE733C"/>
    <w:rsid w:val="00DF4732"/>
    <w:rsid w:val="00E16859"/>
    <w:rsid w:val="00E23705"/>
    <w:rsid w:val="00E4122B"/>
    <w:rsid w:val="00E4256B"/>
    <w:rsid w:val="00E7760E"/>
    <w:rsid w:val="00EA4D29"/>
    <w:rsid w:val="00F04200"/>
    <w:rsid w:val="00F070DB"/>
    <w:rsid w:val="00F648FE"/>
    <w:rsid w:val="00F87A1B"/>
    <w:rsid w:val="00F903B0"/>
    <w:rsid w:val="00FD25BD"/>
    <w:rsid w:val="00FD2B47"/>
    <w:rsid w:val="00FE2301"/>
    <w:rsid w:val="00FE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5EAE"/>
  <w15:chartTrackingRefBased/>
  <w15:docId w15:val="{B4CC9443-74A3-48E8-B3E6-020C33CF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224E96"/>
    <w:pPr>
      <w:ind w:left="720"/>
      <w:contextualSpacing/>
    </w:pPr>
  </w:style>
  <w:style w:type="paragraph" w:customStyle="1" w:styleId="m4814785267086103122gmail-msolistparagraph">
    <w:name w:val="m_4814785267086103122gmail-msolistparagraph"/>
    <w:basedOn w:val="Normal"/>
    <w:rsid w:val="00DD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4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8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F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D7155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D7155"/>
    <w:rPr>
      <w:rFonts w:asciiTheme="minorHAnsi" w:eastAsiaTheme="minorEastAsia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F05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2638DF"/>
  </w:style>
  <w:style w:type="character" w:styleId="Hyperlink">
    <w:name w:val="Hyperlink"/>
    <w:basedOn w:val="DefaultParagraphFont"/>
    <w:uiPriority w:val="99"/>
    <w:semiHidden/>
    <w:unhideWhenUsed/>
    <w:rsid w:val="006B35F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35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617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61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61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DC888-E4CE-4210-B68E-ADD8A740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Gvenetadze</dc:creator>
  <cp:keywords/>
  <dc:description/>
  <cp:lastModifiedBy>Otto</cp:lastModifiedBy>
  <cp:revision>24</cp:revision>
  <dcterms:created xsi:type="dcterms:W3CDTF">2021-01-27T12:05:00Z</dcterms:created>
  <dcterms:modified xsi:type="dcterms:W3CDTF">2021-01-27T15:02:00Z</dcterms:modified>
</cp:coreProperties>
</file>