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D5D13" w14:textId="77777777" w:rsidR="0002761F" w:rsidRPr="009A7BF0" w:rsidRDefault="0002761F" w:rsidP="0002761F">
      <w:pPr>
        <w:rPr>
          <w:rFonts w:ascii="Calibri" w:hAnsi="Calibri" w:cs="Calibri"/>
          <w:u w:val="single"/>
        </w:rPr>
      </w:pPr>
      <w:r w:rsidRPr="009A7BF0">
        <w:rPr>
          <w:rFonts w:ascii="Calibri" w:hAnsi="Calibri" w:cs="Calibri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AAB8CD8" wp14:editId="12470ACC">
            <wp:simplePos x="0" y="0"/>
            <wp:positionH relativeFrom="column">
              <wp:posOffset>1640938</wp:posOffset>
            </wp:positionH>
            <wp:positionV relativeFrom="paragraph">
              <wp:posOffset>-499665</wp:posOffset>
            </wp:positionV>
            <wp:extent cx="2680677" cy="1615566"/>
            <wp:effectExtent l="0" t="0" r="0" b="0"/>
            <wp:wrapNone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raw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677" cy="1615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867A9" w14:textId="77777777" w:rsidR="0002761F" w:rsidRPr="009A7BF0" w:rsidRDefault="0002761F" w:rsidP="0002761F">
      <w:pPr>
        <w:rPr>
          <w:rFonts w:ascii="Calibri" w:hAnsi="Calibri" w:cs="Calibri"/>
        </w:rPr>
      </w:pPr>
    </w:p>
    <w:p w14:paraId="38ED9C5B" w14:textId="77777777" w:rsidR="0002761F" w:rsidRPr="009A7BF0" w:rsidRDefault="0002761F" w:rsidP="0002761F">
      <w:pPr>
        <w:rPr>
          <w:rFonts w:ascii="Calibri" w:hAnsi="Calibri" w:cs="Calibri"/>
        </w:rPr>
      </w:pPr>
    </w:p>
    <w:p w14:paraId="0E94205C" w14:textId="77777777" w:rsidR="0002761F" w:rsidRPr="009A7BF0" w:rsidRDefault="0002761F" w:rsidP="0002761F">
      <w:pPr>
        <w:rPr>
          <w:rFonts w:ascii="Calibri" w:hAnsi="Calibri" w:cs="Calibri"/>
        </w:rPr>
      </w:pPr>
    </w:p>
    <w:p w14:paraId="63AA1FF8" w14:textId="77777777" w:rsidR="0002761F" w:rsidRPr="009A7BF0" w:rsidRDefault="0002761F" w:rsidP="0002761F">
      <w:pPr>
        <w:rPr>
          <w:rFonts w:ascii="Calibri" w:hAnsi="Calibri" w:cs="Calibri"/>
        </w:rPr>
      </w:pPr>
    </w:p>
    <w:p w14:paraId="10994FED" w14:textId="77777777" w:rsidR="0002761F" w:rsidRPr="009A7BF0" w:rsidRDefault="0002761F" w:rsidP="0002761F">
      <w:pPr>
        <w:rPr>
          <w:rFonts w:ascii="Calibri" w:hAnsi="Calibri" w:cs="Calibri"/>
        </w:rPr>
      </w:pPr>
    </w:p>
    <w:p w14:paraId="649C00FA" w14:textId="77777777" w:rsidR="0002761F" w:rsidRPr="009A7BF0" w:rsidRDefault="0002761F" w:rsidP="0002761F">
      <w:pPr>
        <w:rPr>
          <w:rFonts w:ascii="Calibri" w:hAnsi="Calibri" w:cs="Calibri"/>
        </w:rPr>
      </w:pPr>
    </w:p>
    <w:p w14:paraId="4FDE5468" w14:textId="77777777" w:rsidR="0002761F" w:rsidRPr="009A7BF0" w:rsidRDefault="0002761F" w:rsidP="0002761F">
      <w:pPr>
        <w:rPr>
          <w:rFonts w:ascii="Calibri" w:hAnsi="Calibri" w:cs="Calibri"/>
          <w:u w:val="single"/>
        </w:rPr>
      </w:pPr>
    </w:p>
    <w:p w14:paraId="1F58EE9A" w14:textId="77777777" w:rsidR="0002761F" w:rsidRPr="009A7BF0" w:rsidRDefault="0002761F" w:rsidP="0002761F">
      <w:pPr>
        <w:tabs>
          <w:tab w:val="left" w:pos="3668"/>
        </w:tabs>
        <w:rPr>
          <w:rFonts w:ascii="Calibri" w:hAnsi="Calibri" w:cs="Calibri"/>
        </w:rPr>
      </w:pPr>
    </w:p>
    <w:p w14:paraId="31C65519" w14:textId="77777777" w:rsidR="0002761F" w:rsidRPr="009A7BF0" w:rsidRDefault="0002761F" w:rsidP="0002761F">
      <w:pPr>
        <w:tabs>
          <w:tab w:val="left" w:pos="3668"/>
        </w:tabs>
        <w:jc w:val="center"/>
        <w:rPr>
          <w:rFonts w:ascii="Calibri" w:hAnsi="Calibri" w:cs="Calibri"/>
          <w:color w:val="A32D46"/>
        </w:rPr>
      </w:pPr>
      <w:r w:rsidRPr="009A7BF0">
        <w:rPr>
          <w:rFonts w:ascii="Calibri" w:hAnsi="Calibri" w:cs="Calibri"/>
          <w:color w:val="A32D46"/>
        </w:rPr>
        <w:t>GOVERNMENT ENGAGEMENT</w:t>
      </w:r>
    </w:p>
    <w:p w14:paraId="20BB810B" w14:textId="77777777" w:rsidR="0002761F" w:rsidRPr="00BE200C" w:rsidRDefault="0002761F" w:rsidP="0002761F">
      <w:pPr>
        <w:pStyle w:val="NormalWeb"/>
        <w:jc w:val="both"/>
        <w:rPr>
          <w:rFonts w:ascii="Calibri" w:hAnsi="Calibri" w:cs="Calibri"/>
          <w:color w:val="000000" w:themeColor="text1"/>
        </w:rPr>
      </w:pPr>
      <w:r w:rsidRPr="00BE200C">
        <w:rPr>
          <w:rFonts w:ascii="Calibri" w:hAnsi="Calibri" w:cs="Calibri"/>
          <w:color w:val="000000" w:themeColor="text1"/>
          <w:sz w:val="20"/>
          <w:szCs w:val="20"/>
        </w:rPr>
        <w:t xml:space="preserve">Led by ILO, UN Women and the OECD, EPIC is a multi-stakeholder initiative comprising government entities including ministries responsible for </w:t>
      </w:r>
      <w:proofErr w:type="spellStart"/>
      <w:r w:rsidRPr="00BE200C">
        <w:rPr>
          <w:rFonts w:ascii="Calibri" w:hAnsi="Calibri" w:cs="Calibri"/>
          <w:color w:val="000000" w:themeColor="text1"/>
          <w:sz w:val="20"/>
          <w:szCs w:val="20"/>
        </w:rPr>
        <w:t>labour</w:t>
      </w:r>
      <w:proofErr w:type="spellEnd"/>
      <w:r w:rsidRPr="00BE200C">
        <w:rPr>
          <w:rFonts w:ascii="Calibri" w:hAnsi="Calibri" w:cs="Calibri"/>
          <w:color w:val="000000" w:themeColor="text1"/>
          <w:sz w:val="20"/>
          <w:szCs w:val="20"/>
        </w:rPr>
        <w:t xml:space="preserve"> and employment, ministries responsible for gender equality and national statistical offices, international and national employers’ and workers’ organizations, relevant UN entities, the private sector, international civil society organizations and academia. </w:t>
      </w:r>
    </w:p>
    <w:p w14:paraId="5452381F" w14:textId="77777777" w:rsidR="0002761F" w:rsidRPr="00BE200C" w:rsidRDefault="0002761F" w:rsidP="0002761F">
      <w:pPr>
        <w:pStyle w:val="NormalWeb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E200C">
        <w:rPr>
          <w:rFonts w:ascii="Calibri" w:hAnsi="Calibri" w:cs="Calibri"/>
          <w:color w:val="000000" w:themeColor="text1"/>
          <w:sz w:val="20"/>
          <w:szCs w:val="20"/>
        </w:rPr>
        <w:t xml:space="preserve">For EPIC to operate credibly, effectively and strategically, it is key that the committed parties show a genuine and proven commitment to achieving equal pay for work of equal value. </w:t>
      </w:r>
    </w:p>
    <w:p w14:paraId="713FCEC8" w14:textId="77777777" w:rsidR="0002761F" w:rsidRPr="00BE200C" w:rsidRDefault="0002761F" w:rsidP="0002761F">
      <w:pPr>
        <w:pStyle w:val="NormalWeb"/>
        <w:rPr>
          <w:rFonts w:ascii="Calibri" w:hAnsi="Calibri" w:cs="Calibri"/>
          <w:color w:val="000000" w:themeColor="text1"/>
          <w:sz w:val="20"/>
          <w:szCs w:val="20"/>
        </w:rPr>
      </w:pPr>
      <w:r w:rsidRPr="00896EBF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At least SIX </w:t>
      </w:r>
      <w:r w:rsidRPr="00896EBF">
        <w:rPr>
          <w:rFonts w:ascii="Calibri" w:hAnsi="Calibri" w:cs="Calibri"/>
          <w:color w:val="000000" w:themeColor="text1"/>
          <w:sz w:val="20"/>
          <w:szCs w:val="20"/>
        </w:rPr>
        <w:t xml:space="preserve">out of the below criteria are to be met at the moment of signature of within the </w:t>
      </w:r>
      <w:r w:rsidRPr="00896EBF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THREE YEARS </w:t>
      </w:r>
      <w:r w:rsidRPr="00896EBF">
        <w:rPr>
          <w:rFonts w:ascii="Calibri" w:hAnsi="Calibri" w:cs="Calibri"/>
          <w:color w:val="000000" w:themeColor="text1"/>
          <w:sz w:val="20"/>
          <w:szCs w:val="20"/>
        </w:rPr>
        <w:t>period of time.</w:t>
      </w:r>
      <w:r w:rsidRPr="00BE200C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95"/>
        <w:gridCol w:w="4855"/>
      </w:tblGrid>
      <w:tr w:rsidR="0002761F" w:rsidRPr="00BE200C" w14:paraId="00D2D87A" w14:textId="77777777" w:rsidTr="00515416">
        <w:tc>
          <w:tcPr>
            <w:tcW w:w="4495" w:type="dxa"/>
            <w:shd w:val="clear" w:color="auto" w:fill="auto"/>
          </w:tcPr>
          <w:p w14:paraId="37ECC079" w14:textId="77777777" w:rsidR="0002761F" w:rsidRPr="00BE200C" w:rsidRDefault="0002761F" w:rsidP="00515416">
            <w:pPr>
              <w:pStyle w:val="NormalWeb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4855" w:type="dxa"/>
            <w:shd w:val="clear" w:color="auto" w:fill="auto"/>
          </w:tcPr>
          <w:p w14:paraId="10A0B881" w14:textId="77777777" w:rsidR="0002761F" w:rsidRPr="00BE200C" w:rsidRDefault="0002761F" w:rsidP="00515416">
            <w:pPr>
              <w:pStyle w:val="NormalWeb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Status (source of verification, if needed) </w:t>
            </w:r>
          </w:p>
        </w:tc>
      </w:tr>
      <w:tr w:rsidR="0002761F" w:rsidRPr="00BE200C" w14:paraId="3AF7BB83" w14:textId="77777777" w:rsidTr="00515416">
        <w:tc>
          <w:tcPr>
            <w:tcW w:w="4495" w:type="dxa"/>
            <w:shd w:val="clear" w:color="auto" w:fill="C5E0B3" w:themeFill="accent6" w:themeFillTint="66"/>
          </w:tcPr>
          <w:p w14:paraId="33C768DC" w14:textId="77777777" w:rsidR="0002761F" w:rsidRPr="00BE200C" w:rsidRDefault="0002761F" w:rsidP="00896EBF">
            <w:pPr>
              <w:pStyle w:val="NormalWeb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Ratification of ILO Equal Remuneration Convention, 1951 (No.100) or verifiable steps being taken to ratify it; </w:t>
            </w:r>
          </w:p>
        </w:tc>
        <w:tc>
          <w:tcPr>
            <w:tcW w:w="4855" w:type="dxa"/>
            <w:shd w:val="clear" w:color="auto" w:fill="C5E0B3" w:themeFill="accent6" w:themeFillTint="66"/>
          </w:tcPr>
          <w:p w14:paraId="040E7DAB" w14:textId="77777777" w:rsidR="0002761F" w:rsidRPr="00BE200C" w:rsidRDefault="0002761F" w:rsidP="00896EBF">
            <w:pPr>
              <w:pStyle w:val="NormalWeb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Convention is ratified. No further source or verification is needed. </w:t>
            </w:r>
          </w:p>
        </w:tc>
      </w:tr>
      <w:tr w:rsidR="0002761F" w:rsidRPr="00BE200C" w14:paraId="10C5D847" w14:textId="77777777" w:rsidTr="00515416">
        <w:tc>
          <w:tcPr>
            <w:tcW w:w="4495" w:type="dxa"/>
          </w:tcPr>
          <w:p w14:paraId="4CE15D21" w14:textId="77777777" w:rsidR="0002761F" w:rsidRPr="00BE200C" w:rsidRDefault="0002761F" w:rsidP="00896EBF">
            <w:pPr>
              <w:pStyle w:val="NormalWeb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Legislation in line with ILO Convention No. 100;</w:t>
            </w:r>
          </w:p>
          <w:p w14:paraId="7CBE968C" w14:textId="77777777" w:rsidR="0002761F" w:rsidRPr="00BE200C" w:rsidRDefault="0002761F" w:rsidP="00896EBF">
            <w:pPr>
              <w:pStyle w:val="NormalWeb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55" w:type="dxa"/>
          </w:tcPr>
          <w:p w14:paraId="36A277B7" w14:textId="4F07B2C0" w:rsidR="0002761F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current legislation is not in line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with ILO Convention No. 100. Convention forces the introduction of equal pay for equal work. While there is no clearly shaped definition for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equal pay and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no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assessment methodology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it would be hard to commit to </w:t>
            </w:r>
            <w:r w:rsidR="00896E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this particular criterion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14:paraId="11D76EE4" w14:textId="77777777" w:rsidR="0002761F" w:rsidRPr="00BE200C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2761F" w:rsidRPr="00BE200C" w14:paraId="0AFDEBE0" w14:textId="77777777" w:rsidTr="00515416">
        <w:tc>
          <w:tcPr>
            <w:tcW w:w="4495" w:type="dxa"/>
            <w:shd w:val="clear" w:color="auto" w:fill="C5E0B3" w:themeFill="accent6" w:themeFillTint="66"/>
          </w:tcPr>
          <w:p w14:paraId="1106DF28" w14:textId="77777777" w:rsidR="0002761F" w:rsidRPr="00BE200C" w:rsidRDefault="0002761F" w:rsidP="00896EBF">
            <w:pPr>
              <w:pStyle w:val="NormalWeb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Ratification of the UN Convention on the Elimination of all forms of Discrimination against Women, 1976 (Article 11d)</w:t>
            </w:r>
          </w:p>
        </w:tc>
        <w:tc>
          <w:tcPr>
            <w:tcW w:w="4855" w:type="dxa"/>
            <w:shd w:val="clear" w:color="auto" w:fill="C5E0B3" w:themeFill="accent6" w:themeFillTint="66"/>
          </w:tcPr>
          <w:p w14:paraId="4FABC052" w14:textId="77777777" w:rsidR="0002761F" w:rsidRPr="00BE200C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Convention is ratified. No further source or verification is needed.</w:t>
            </w:r>
          </w:p>
        </w:tc>
      </w:tr>
      <w:tr w:rsidR="0002761F" w:rsidRPr="00BE200C" w14:paraId="7B75EC0C" w14:textId="77777777" w:rsidTr="00515416">
        <w:tc>
          <w:tcPr>
            <w:tcW w:w="4495" w:type="dxa"/>
            <w:shd w:val="clear" w:color="auto" w:fill="FFF2CC" w:themeFill="accent4" w:themeFillTint="33"/>
          </w:tcPr>
          <w:p w14:paraId="4A4E9AEF" w14:textId="77777777" w:rsidR="0002761F" w:rsidRPr="00BE200C" w:rsidRDefault="0002761F" w:rsidP="00896EBF">
            <w:pPr>
              <w:pStyle w:val="NormalWeb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Adherence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Recommendation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of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2013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OECD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Council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Gender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Equality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Education,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Employment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 Entrepreneurship and the 2015 Recommendation of the OECD Council on Gender Equality in Public Life</w:t>
            </w:r>
          </w:p>
        </w:tc>
        <w:tc>
          <w:tcPr>
            <w:tcW w:w="4855" w:type="dxa"/>
            <w:shd w:val="clear" w:color="auto" w:fill="FFF2CC" w:themeFill="accent4" w:themeFillTint="33"/>
          </w:tcPr>
          <w:p w14:paraId="449AA342" w14:textId="5AC54F99" w:rsidR="0002761F" w:rsidRPr="00BE200C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Texts of both recommendations (2013 and 2015) are acceptable and possible to adherence within the next three years. </w:t>
            </w:r>
            <w:r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Therefore, committing to </w:t>
            </w:r>
            <w:r w:rsidR="00896EBF"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these criteria</w:t>
            </w:r>
            <w:r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is being considered.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2761F" w:rsidRPr="00BE200C" w14:paraId="17481629" w14:textId="77777777" w:rsidTr="00515416">
        <w:tc>
          <w:tcPr>
            <w:tcW w:w="4495" w:type="dxa"/>
            <w:shd w:val="clear" w:color="auto" w:fill="C5E0B3" w:themeFill="accent6" w:themeFillTint="66"/>
          </w:tcPr>
          <w:p w14:paraId="75ED76BA" w14:textId="77777777" w:rsidR="0002761F" w:rsidRPr="00BE200C" w:rsidRDefault="0002761F" w:rsidP="00896EBF">
            <w:pPr>
              <w:pStyle w:val="NormalWeb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Sex-disaggregated data on wages are collected</w:t>
            </w:r>
          </w:p>
        </w:tc>
        <w:tc>
          <w:tcPr>
            <w:tcW w:w="4855" w:type="dxa"/>
            <w:shd w:val="clear" w:color="auto" w:fill="C5E0B3" w:themeFill="accent6" w:themeFillTint="66"/>
          </w:tcPr>
          <w:p w14:paraId="31F0ACD7" w14:textId="77777777" w:rsidR="0002761F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Sex-disaggregated data on wages are collected by the National Statistics Office –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GeoS</w:t>
            </w:r>
            <w:bookmarkStart w:id="0" w:name="_GoBack"/>
            <w:bookmarkEnd w:id="0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tat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14:paraId="792383E7" w14:textId="77777777" w:rsidR="0002761F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2881FEA" w14:textId="77777777" w:rsidR="0002761F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Source of verification: L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abor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urvey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(LFS)</w:t>
            </w:r>
          </w:p>
          <w:p w14:paraId="1B3D3C89" w14:textId="77777777" w:rsidR="0002761F" w:rsidRPr="00BE200C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2761F" w:rsidRPr="00BE200C" w14:paraId="3373FC90" w14:textId="77777777" w:rsidTr="00515416">
        <w:tc>
          <w:tcPr>
            <w:tcW w:w="4495" w:type="dxa"/>
            <w:shd w:val="clear" w:color="auto" w:fill="FFF2CC" w:themeFill="accent4" w:themeFillTint="33"/>
          </w:tcPr>
          <w:p w14:paraId="4386D3D3" w14:textId="77777777" w:rsidR="0002761F" w:rsidRPr="00DF5D55" w:rsidRDefault="0002761F" w:rsidP="00896EBF">
            <w:pPr>
              <w:pStyle w:val="NormalWeb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Policies or practices that encourage pay transparency are in place</w:t>
            </w:r>
          </w:p>
        </w:tc>
        <w:tc>
          <w:tcPr>
            <w:tcW w:w="4855" w:type="dxa"/>
            <w:shd w:val="clear" w:color="auto" w:fill="FFF2CC" w:themeFill="accent4" w:themeFillTint="33"/>
          </w:tcPr>
          <w:p w14:paraId="26791095" w14:textId="3AE07203" w:rsidR="0002761F" w:rsidRPr="00DF5D55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While there is no such policy in place at a present moment, such policies may be </w:t>
            </w:r>
            <w:r w:rsidRPr="00DF5D5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encouraged </w:t>
            </w:r>
            <w:r w:rsidRP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(not mandated) within the three years. </w:t>
            </w:r>
            <w:r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Therefore, committing to </w:t>
            </w:r>
            <w:r w:rsidR="00896EBF"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these criteria</w:t>
            </w:r>
            <w:r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is being considered.</w:t>
            </w:r>
          </w:p>
          <w:p w14:paraId="0D7DF02F" w14:textId="77777777" w:rsidR="0002761F" w:rsidRPr="00DF5D55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2761F" w:rsidRPr="00BE200C" w14:paraId="0CC4A246" w14:textId="77777777" w:rsidTr="00515416">
        <w:tc>
          <w:tcPr>
            <w:tcW w:w="4495" w:type="dxa"/>
          </w:tcPr>
          <w:p w14:paraId="03ACF0B7" w14:textId="77777777" w:rsidR="0002761F" w:rsidRPr="00BE200C" w:rsidRDefault="0002761F" w:rsidP="00896EBF">
            <w:pPr>
              <w:pStyle w:val="NormalWeb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 countries where minimum wages are set by sector or occupation, minimum wages cover also sectors and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occupations where women workers predominate</w:t>
            </w:r>
          </w:p>
        </w:tc>
        <w:tc>
          <w:tcPr>
            <w:tcW w:w="4855" w:type="dxa"/>
          </w:tcPr>
          <w:p w14:paraId="1C9B4C23" w14:textId="702E8657" w:rsidR="0002761F" w:rsidRPr="00BE200C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 minimum wage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 are set in Georgia. It would be hard to commit to </w:t>
            </w:r>
            <w:r w:rsidR="00896EB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this particular criterion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02761F" w:rsidRPr="00BE200C" w14:paraId="0906728B" w14:textId="77777777" w:rsidTr="00515416">
        <w:tc>
          <w:tcPr>
            <w:tcW w:w="4495" w:type="dxa"/>
            <w:shd w:val="clear" w:color="auto" w:fill="FFF2CC" w:themeFill="accent4" w:themeFillTint="33"/>
          </w:tcPr>
          <w:p w14:paraId="6E921CD0" w14:textId="15B4FF78" w:rsidR="0002761F" w:rsidRPr="00BE200C" w:rsidRDefault="0002761F" w:rsidP="00896EBF">
            <w:pPr>
              <w:pStyle w:val="NormalWeb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National bodies (</w:t>
            </w:r>
            <w:r w:rsidR="00896EBF"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e.g.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equal employment opportunities bodies or tripartite bodies) that address equal pay are in place</w:t>
            </w:r>
          </w:p>
        </w:tc>
        <w:tc>
          <w:tcPr>
            <w:tcW w:w="4855" w:type="dxa"/>
            <w:shd w:val="clear" w:color="auto" w:fill="FFF2CC" w:themeFill="accent4" w:themeFillTint="33"/>
          </w:tcPr>
          <w:p w14:paraId="7668390B" w14:textId="09836927" w:rsidR="0002761F" w:rsidRPr="00DF655F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Tripartite Social Partnership Commission might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serve as such national body, through which encouragement of equal pay might be considered. Cooperation might be strengthened within the three years. </w:t>
            </w:r>
            <w:r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Therefore, committing to </w:t>
            </w:r>
            <w:r w:rsidR="00896EBF"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these criteria</w:t>
            </w:r>
            <w:r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is being considered – yet under discussion. </w:t>
            </w:r>
          </w:p>
          <w:p w14:paraId="176140FA" w14:textId="77777777" w:rsidR="0002761F" w:rsidRPr="00BE200C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2761F" w:rsidRPr="00BE200C" w14:paraId="0418F7D3" w14:textId="77777777" w:rsidTr="00515416">
        <w:tc>
          <w:tcPr>
            <w:tcW w:w="4495" w:type="dxa"/>
            <w:shd w:val="clear" w:color="auto" w:fill="FFF2CC" w:themeFill="accent4" w:themeFillTint="33"/>
          </w:tcPr>
          <w:p w14:paraId="5764E90E" w14:textId="77777777" w:rsidR="0002761F" w:rsidRPr="00BE200C" w:rsidRDefault="0002761F" w:rsidP="00896EBF">
            <w:pPr>
              <w:pStyle w:val="NormalWeb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Laws,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policies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measures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facilitate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work-family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reconciliation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increase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representation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of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women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companies’ boards are in place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855" w:type="dxa"/>
            <w:shd w:val="clear" w:color="auto" w:fill="FFF2CC" w:themeFill="accent4" w:themeFillTint="33"/>
          </w:tcPr>
          <w:p w14:paraId="554D9E85" w14:textId="77777777" w:rsidR="0002761F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National Bank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of Georgia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has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already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introduced some measures on gender quotas in boards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14:paraId="1DC72564" w14:textId="77777777" w:rsidR="0002761F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BF23555" w14:textId="77777777" w:rsidR="0002761F" w:rsidRPr="00BE200C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Inter-agency Gender Equality Commission plans to issue further guidelines on the matter. </w:t>
            </w:r>
          </w:p>
          <w:p w14:paraId="15F4ED13" w14:textId="77777777" w:rsidR="0002761F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037BAA8" w14:textId="77777777" w:rsidR="0002761F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UNW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continues work with the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private sector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14:paraId="2500A72F" w14:textId="77777777" w:rsidR="0002761F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51A7C22" w14:textId="316D19DB" w:rsidR="0002761F" w:rsidRPr="00DF655F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Therefore, committing to </w:t>
            </w:r>
            <w:r w:rsidR="00896EBF"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these criteria</w:t>
            </w:r>
            <w:r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is being considered.</w:t>
            </w:r>
          </w:p>
        </w:tc>
      </w:tr>
      <w:tr w:rsidR="0002761F" w:rsidRPr="00BE200C" w14:paraId="274CD953" w14:textId="77777777" w:rsidTr="00515416">
        <w:tc>
          <w:tcPr>
            <w:tcW w:w="4495" w:type="dxa"/>
            <w:shd w:val="clear" w:color="auto" w:fill="C5E0B3" w:themeFill="accent6" w:themeFillTint="66"/>
          </w:tcPr>
          <w:p w14:paraId="4CE81A77" w14:textId="77777777" w:rsidR="0002761F" w:rsidRPr="00BE200C" w:rsidRDefault="0002761F" w:rsidP="00896EBF">
            <w:pPr>
              <w:pStyle w:val="NormalWeb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Offer in-kind or financial support as contributions to key EPIC outputs</w:t>
            </w:r>
          </w:p>
        </w:tc>
        <w:tc>
          <w:tcPr>
            <w:tcW w:w="4855" w:type="dxa"/>
            <w:shd w:val="clear" w:color="auto" w:fill="C5E0B3" w:themeFill="accent6" w:themeFillTint="66"/>
          </w:tcPr>
          <w:p w14:paraId="7F4C25A3" w14:textId="77777777" w:rsidR="0002761F" w:rsidRPr="00BE200C" w:rsidRDefault="0002761F" w:rsidP="00896EB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A3A0969" w14:textId="77777777" w:rsidR="0002761F" w:rsidRDefault="0002761F" w:rsidP="0002761F">
      <w:pPr>
        <w:pStyle w:val="NormalWeb"/>
        <w:jc w:val="center"/>
        <w:rPr>
          <w:rFonts w:ascii="Calibri" w:hAnsi="Calibri" w:cs="Calibri"/>
          <w:color w:val="000000" w:themeColor="text1"/>
        </w:rPr>
      </w:pPr>
    </w:p>
    <w:p w14:paraId="2F87ED31" w14:textId="77777777" w:rsidR="0002761F" w:rsidRDefault="0002761F" w:rsidP="0002761F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SIGNATORS to the Document: </w:t>
      </w:r>
    </w:p>
    <w:p w14:paraId="0CA347CC" w14:textId="77777777" w:rsidR="0002761F" w:rsidRDefault="0002761F" w:rsidP="0002761F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6F060C29" w14:textId="77777777" w:rsidR="0002761F" w:rsidRDefault="0002761F" w:rsidP="0002761F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Minister of Internally Displaced Persons from the Occupied Territories, </w:t>
      </w:r>
      <w:proofErr w:type="spellStart"/>
      <w:r>
        <w:rPr>
          <w:rFonts w:ascii="Calibri" w:hAnsi="Calibri" w:cs="Calibri"/>
          <w:color w:val="000000" w:themeColor="text1"/>
        </w:rPr>
        <w:t>Labour</w:t>
      </w:r>
      <w:proofErr w:type="spellEnd"/>
      <w:r>
        <w:rPr>
          <w:rFonts w:ascii="Calibri" w:hAnsi="Calibri" w:cs="Calibri"/>
          <w:color w:val="000000" w:themeColor="text1"/>
        </w:rPr>
        <w:t>, Health and Social Affairs of Georgia</w:t>
      </w:r>
    </w:p>
    <w:p w14:paraId="560D83CB" w14:textId="77777777" w:rsidR="0002761F" w:rsidRDefault="0002761F" w:rsidP="0002761F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Alternative: Deputy Minister of Internally Displaced Persons from the Occupied Territories, </w:t>
      </w:r>
      <w:proofErr w:type="spellStart"/>
      <w:r>
        <w:rPr>
          <w:rFonts w:ascii="Calibri" w:hAnsi="Calibri" w:cs="Calibri"/>
          <w:color w:val="000000" w:themeColor="text1"/>
        </w:rPr>
        <w:t>Labour</w:t>
      </w:r>
      <w:proofErr w:type="spellEnd"/>
      <w:r>
        <w:rPr>
          <w:rFonts w:ascii="Calibri" w:hAnsi="Calibri" w:cs="Calibri"/>
          <w:color w:val="000000" w:themeColor="text1"/>
        </w:rPr>
        <w:t>, Health and Social Affairs of Georgia</w:t>
      </w:r>
    </w:p>
    <w:p w14:paraId="5F85E92C" w14:textId="77777777" w:rsidR="0002761F" w:rsidRDefault="0002761F" w:rsidP="0002761F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2F4F2270" w14:textId="77777777" w:rsidR="0002761F" w:rsidRDefault="0002761F" w:rsidP="0002761F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Chair of the Inter-Agency Commission on Gender Equality, Violence Against Women and Domestic Violence [Human Rights Council. Administration of the Government] </w:t>
      </w:r>
    </w:p>
    <w:p w14:paraId="09E8FA48" w14:textId="77777777" w:rsidR="0002761F" w:rsidRDefault="0002761F" w:rsidP="0002761F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color w:val="000000" w:themeColor="text1"/>
        </w:rPr>
      </w:pPr>
    </w:p>
    <w:p w14:paraId="49D65C98" w14:textId="77777777" w:rsidR="0002761F" w:rsidRPr="00DB0E3D" w:rsidRDefault="0002761F" w:rsidP="0002761F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Chair women of the EPIC </w:t>
      </w:r>
    </w:p>
    <w:p w14:paraId="3FAB1526" w14:textId="77777777" w:rsidR="0002761F" w:rsidRPr="00BE200C" w:rsidRDefault="0002761F" w:rsidP="0002761F">
      <w:pPr>
        <w:tabs>
          <w:tab w:val="left" w:pos="3668"/>
        </w:tabs>
        <w:rPr>
          <w:rFonts w:ascii="Calibri" w:hAnsi="Calibri" w:cs="Calibri"/>
          <w:color w:val="000000" w:themeColor="text1"/>
        </w:rPr>
      </w:pPr>
    </w:p>
    <w:p w14:paraId="21573C28" w14:textId="77777777" w:rsidR="00A801C2" w:rsidRDefault="00A801C2"/>
    <w:sectPr w:rsidR="00A801C2" w:rsidSect="00FD7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A051F"/>
    <w:multiLevelType w:val="hybridMultilevel"/>
    <w:tmpl w:val="8BC69AB0"/>
    <w:lvl w:ilvl="0" w:tplc="6D42095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2D"/>
    <w:rsid w:val="0002761F"/>
    <w:rsid w:val="00896EBF"/>
    <w:rsid w:val="00A801C2"/>
    <w:rsid w:val="00E4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49CA"/>
  <w15:chartTrackingRefBased/>
  <w15:docId w15:val="{343243C4-D8DA-41F3-9286-4FB3CB4F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61F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6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2761F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7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6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61F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6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Microsoft Office User</cp:lastModifiedBy>
  <cp:revision>3</cp:revision>
  <dcterms:created xsi:type="dcterms:W3CDTF">2020-08-04T08:22:00Z</dcterms:created>
  <dcterms:modified xsi:type="dcterms:W3CDTF">2020-08-05T05:03:00Z</dcterms:modified>
</cp:coreProperties>
</file>