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C627" w14:textId="77777777" w:rsidR="00E2455D" w:rsidRPr="00ED5F24" w:rsidRDefault="00E2455D" w:rsidP="00E2455D">
      <w:pPr>
        <w:jc w:val="right"/>
        <w:rPr>
          <w:rFonts w:cs="Sylfaen"/>
          <w:b/>
          <w:i/>
          <w:sz w:val="24"/>
          <w:szCs w:val="24"/>
          <w:u w:val="single"/>
        </w:rPr>
      </w:pPr>
      <w:r w:rsidRPr="00ED5F24">
        <w:rPr>
          <w:rFonts w:cs="Sylfaen"/>
          <w:b/>
          <w:i/>
          <w:sz w:val="24"/>
          <w:szCs w:val="24"/>
          <w:u w:val="single"/>
        </w:rPr>
        <w:t>დანართი #2</w:t>
      </w:r>
    </w:p>
    <w:p w14:paraId="1ECFBE35" w14:textId="77777777" w:rsidR="00E2455D" w:rsidRPr="00ED5F24" w:rsidRDefault="00E2455D" w:rsidP="00DE0EE3">
      <w:pPr>
        <w:jc w:val="center"/>
        <w:rPr>
          <w:rFonts w:cs="Sylfaen"/>
          <w:b/>
          <w:sz w:val="24"/>
          <w:szCs w:val="24"/>
        </w:rPr>
      </w:pPr>
    </w:p>
    <w:p w14:paraId="22C0AA48" w14:textId="3938A66F" w:rsidR="00DE0EE3" w:rsidRPr="00ED5F24" w:rsidRDefault="00DE0EE3" w:rsidP="00DE0EE3">
      <w:pPr>
        <w:jc w:val="center"/>
        <w:rPr>
          <w:b/>
          <w:sz w:val="24"/>
          <w:szCs w:val="24"/>
        </w:rPr>
      </w:pPr>
      <w:r w:rsidRPr="00ED5F24">
        <w:rPr>
          <w:rFonts w:cs="Sylfaen"/>
          <w:b/>
          <w:sz w:val="24"/>
          <w:szCs w:val="24"/>
        </w:rPr>
        <w:t xml:space="preserve">საქართველოს 2021-2030 წლების მიგრაციის სტრატეგიის პროექტზე გამართული </w:t>
      </w:r>
      <w:r w:rsidRPr="00ED5F24">
        <w:rPr>
          <w:b/>
          <w:sz w:val="24"/>
          <w:szCs w:val="24"/>
        </w:rPr>
        <w:t>საჯარო კონსულტაციების შემაჯამებელ</w:t>
      </w:r>
      <w:r w:rsidR="000E128A" w:rsidRPr="00ED5F24">
        <w:rPr>
          <w:b/>
          <w:sz w:val="24"/>
          <w:szCs w:val="24"/>
        </w:rPr>
        <w:t>ი</w:t>
      </w:r>
      <w:r w:rsidRPr="00ED5F24">
        <w:rPr>
          <w:b/>
          <w:sz w:val="24"/>
          <w:szCs w:val="24"/>
        </w:rPr>
        <w:t xml:space="preserve"> </w:t>
      </w:r>
      <w:r w:rsidR="000E128A" w:rsidRPr="00ED5F24">
        <w:rPr>
          <w:b/>
          <w:sz w:val="24"/>
          <w:szCs w:val="24"/>
        </w:rPr>
        <w:t>ანგარი</w:t>
      </w:r>
      <w:r w:rsidRPr="00ED5F24">
        <w:rPr>
          <w:b/>
          <w:sz w:val="24"/>
          <w:szCs w:val="24"/>
        </w:rPr>
        <w:t>ში</w:t>
      </w:r>
    </w:p>
    <w:p w14:paraId="54515A61" w14:textId="77777777" w:rsidR="00DE0EE3" w:rsidRPr="00ED5F24" w:rsidRDefault="00DE0EE3" w:rsidP="00DE0EE3">
      <w:pPr>
        <w:jc w:val="center"/>
        <w:rPr>
          <w:rFonts w:cs="Sylfaen"/>
          <w:b/>
          <w:sz w:val="24"/>
          <w:szCs w:val="24"/>
        </w:rPr>
      </w:pPr>
    </w:p>
    <w:p w14:paraId="50052D5A" w14:textId="34EB9693" w:rsidR="007B2669" w:rsidRPr="00ED5F24" w:rsidRDefault="00A03C20" w:rsidP="00A03C20">
      <w:pPr>
        <w:jc w:val="both"/>
        <w:rPr>
          <w:rFonts w:cstheme="minorHAnsi"/>
        </w:rPr>
      </w:pPr>
      <w:r w:rsidRPr="00ED5F24">
        <w:rPr>
          <w:rFonts w:cs="Sylfaen"/>
        </w:rPr>
        <w:t>როგორც პოლიტიკის დაგეგმვის, მონიტორინგისა და შეფასების სახელმძღვანელოშია</w:t>
      </w:r>
      <w:r w:rsidR="006E4905" w:rsidRPr="00ED5F24">
        <w:t xml:space="preserve"> </w:t>
      </w:r>
      <w:r w:rsidRPr="00ED5F24">
        <w:rPr>
          <w:rFonts w:cs="Sylfaen"/>
        </w:rPr>
        <w:t>აღნიშნული</w:t>
      </w:r>
      <w:r w:rsidR="00A00B7D" w:rsidRPr="00ED5F24">
        <w:rPr>
          <w:rFonts w:cs="Sylfaen"/>
        </w:rPr>
        <w:t>,</w:t>
      </w:r>
      <w:r w:rsidRPr="00ED5F24">
        <w:rPr>
          <w:rFonts w:cs="Sylfaen"/>
        </w:rPr>
        <w:t xml:space="preserve"> პოლიტიკის</w:t>
      </w:r>
      <w:r w:rsidRPr="00ED5F24">
        <w:rPr>
          <w:rFonts w:cstheme="minorHAnsi"/>
        </w:rPr>
        <w:t xml:space="preserve"> დოკუმენტების შემუშავების </w:t>
      </w:r>
      <w:r w:rsidRPr="00ED5F24">
        <w:rPr>
          <w:rFonts w:cs="Sylfaen"/>
        </w:rPr>
        <w:t>ციკლი</w:t>
      </w:r>
      <w:r w:rsidRPr="00ED5F24">
        <w:rPr>
          <w:rFonts w:cstheme="minorHAnsi"/>
        </w:rPr>
        <w:t xml:space="preserve"> </w:t>
      </w:r>
      <w:r w:rsidRPr="00ED5F24">
        <w:rPr>
          <w:rFonts w:cs="Sylfaen"/>
        </w:rPr>
        <w:t>არის</w:t>
      </w:r>
      <w:r w:rsidRPr="00ED5F24">
        <w:rPr>
          <w:rFonts w:cstheme="minorHAnsi"/>
        </w:rPr>
        <w:t xml:space="preserve"> </w:t>
      </w:r>
      <w:r w:rsidRPr="00ED5F24">
        <w:rPr>
          <w:rFonts w:cs="Sylfaen"/>
        </w:rPr>
        <w:t>ინკლუზიური</w:t>
      </w:r>
      <w:r w:rsidRPr="00ED5F24">
        <w:rPr>
          <w:rFonts w:cstheme="minorHAnsi"/>
        </w:rPr>
        <w:t xml:space="preserve"> </w:t>
      </w:r>
      <w:r w:rsidRPr="00ED5F24">
        <w:rPr>
          <w:rFonts w:cs="Sylfaen"/>
        </w:rPr>
        <w:t>პროცესი</w:t>
      </w:r>
      <w:r w:rsidRPr="00ED5F24">
        <w:rPr>
          <w:rFonts w:cstheme="minorHAnsi"/>
        </w:rPr>
        <w:t xml:space="preserve"> </w:t>
      </w:r>
      <w:r w:rsidRPr="00ED5F24">
        <w:rPr>
          <w:rFonts w:cs="Sylfaen"/>
        </w:rPr>
        <w:t>და</w:t>
      </w:r>
      <w:r w:rsidRPr="00ED5F24">
        <w:rPr>
          <w:rFonts w:cstheme="minorHAnsi"/>
        </w:rPr>
        <w:t xml:space="preserve"> </w:t>
      </w:r>
      <w:r w:rsidRPr="00ED5F24">
        <w:rPr>
          <w:rFonts w:cs="Sylfaen"/>
        </w:rPr>
        <w:t>გულისხმობს</w:t>
      </w:r>
      <w:r w:rsidRPr="00ED5F24">
        <w:rPr>
          <w:rFonts w:cstheme="minorHAnsi"/>
        </w:rPr>
        <w:t xml:space="preserve"> </w:t>
      </w:r>
      <w:r w:rsidRPr="00ED5F24">
        <w:rPr>
          <w:rFonts w:cs="Sylfaen"/>
        </w:rPr>
        <w:t>თითოეულ</w:t>
      </w:r>
      <w:r w:rsidRPr="00ED5F24">
        <w:rPr>
          <w:rFonts w:cstheme="minorHAnsi"/>
        </w:rPr>
        <w:t xml:space="preserve"> </w:t>
      </w:r>
      <w:r w:rsidRPr="00ED5F24">
        <w:rPr>
          <w:rFonts w:cs="Sylfaen"/>
        </w:rPr>
        <w:t>ეტაპზე</w:t>
      </w:r>
      <w:r w:rsidRPr="00ED5F24">
        <w:rPr>
          <w:rFonts w:cstheme="minorHAnsi"/>
        </w:rPr>
        <w:t xml:space="preserve"> </w:t>
      </w:r>
      <w:r w:rsidRPr="00ED5F24">
        <w:rPr>
          <w:rFonts w:cs="Sylfaen"/>
        </w:rPr>
        <w:t>დაინტერესებული</w:t>
      </w:r>
      <w:r w:rsidRPr="00ED5F24">
        <w:rPr>
          <w:rFonts w:cstheme="minorHAnsi"/>
        </w:rPr>
        <w:t xml:space="preserve"> </w:t>
      </w:r>
      <w:r w:rsidRPr="00ED5F24">
        <w:rPr>
          <w:rFonts w:cs="Sylfaen"/>
        </w:rPr>
        <w:t>მხარეების</w:t>
      </w:r>
      <w:r w:rsidRPr="00ED5F24">
        <w:rPr>
          <w:rFonts w:cstheme="minorHAnsi"/>
        </w:rPr>
        <w:t xml:space="preserve"> </w:t>
      </w:r>
      <w:r w:rsidRPr="00ED5F24">
        <w:rPr>
          <w:rFonts w:cs="Sylfaen"/>
        </w:rPr>
        <w:t>აქტიურ</w:t>
      </w:r>
      <w:r w:rsidRPr="00ED5F24">
        <w:rPr>
          <w:rFonts w:cstheme="minorHAnsi"/>
        </w:rPr>
        <w:t xml:space="preserve"> </w:t>
      </w:r>
      <w:r w:rsidRPr="00ED5F24">
        <w:rPr>
          <w:rFonts w:cs="Sylfaen"/>
        </w:rPr>
        <w:t>ჩართულობას</w:t>
      </w:r>
      <w:r w:rsidR="00311726" w:rsidRPr="00ED5F24">
        <w:rPr>
          <w:rFonts w:cstheme="minorHAnsi"/>
        </w:rPr>
        <w:t>, რაც პოლიტიკის დოკუმენტების ლეგიტიმურობის ხარისხს</w:t>
      </w:r>
      <w:r w:rsidR="00460772" w:rsidRPr="00ED5F24">
        <w:rPr>
          <w:rFonts w:cstheme="minorHAnsi"/>
        </w:rPr>
        <w:t xml:space="preserve"> მნიშვნელოვნად</w:t>
      </w:r>
      <w:r w:rsidR="00311726" w:rsidRPr="00ED5F24">
        <w:rPr>
          <w:rFonts w:cstheme="minorHAnsi"/>
        </w:rPr>
        <w:t xml:space="preserve"> ზრდის.</w:t>
      </w:r>
      <w:r w:rsidRPr="00ED5F24">
        <w:rPr>
          <w:rFonts w:cstheme="minorHAnsi"/>
        </w:rPr>
        <w:t xml:space="preserve"> </w:t>
      </w:r>
    </w:p>
    <w:p w14:paraId="71A9C808" w14:textId="06AB388C" w:rsidR="00AB06CC" w:rsidRPr="00ED5F24" w:rsidRDefault="006E4905" w:rsidP="00A03C20">
      <w:pPr>
        <w:jc w:val="both"/>
        <w:rPr>
          <w:rFonts w:cstheme="minorHAnsi"/>
        </w:rPr>
      </w:pPr>
      <w:r w:rsidRPr="00ED5F24">
        <w:rPr>
          <w:rFonts w:cs="Sylfaen"/>
        </w:rPr>
        <w:t xml:space="preserve">საქართველოს 2021-2030 წლების </w:t>
      </w:r>
      <w:r w:rsidRPr="00ED5F24">
        <w:rPr>
          <w:rFonts w:cstheme="minorHAnsi"/>
        </w:rPr>
        <w:t>მიგრაციის სტრატეგიის შემთხვევაში</w:t>
      </w:r>
      <w:r w:rsidR="00ED5F24">
        <w:rPr>
          <w:rFonts w:cstheme="minorHAnsi"/>
          <w:lang w:val="en-US"/>
        </w:rPr>
        <w:t>,</w:t>
      </w:r>
      <w:r w:rsidRPr="00ED5F24">
        <w:rPr>
          <w:rFonts w:cstheme="minorHAnsi"/>
        </w:rPr>
        <w:t xml:space="preserve"> </w:t>
      </w:r>
      <w:r w:rsidRPr="00ED5F24">
        <w:t>დაინტერესებული მხარეების იდენტიფიცირება</w:t>
      </w:r>
      <w:r w:rsidR="00ED5F24">
        <w:rPr>
          <w:lang w:val="en-US"/>
        </w:rPr>
        <w:t>,</w:t>
      </w:r>
      <w:r w:rsidRPr="00ED5F24">
        <w:t xml:space="preserve"> ერთი შეხედვით</w:t>
      </w:r>
      <w:r w:rsidR="00ED5F24">
        <w:rPr>
          <w:lang w:val="en-US"/>
        </w:rPr>
        <w:t>,</w:t>
      </w:r>
      <w:r w:rsidRPr="00ED5F24">
        <w:t xml:space="preserve"> მარტივი ამოცანაა</w:t>
      </w:r>
      <w:r w:rsidR="00ED5F24">
        <w:rPr>
          <w:lang w:val="en-US"/>
        </w:rPr>
        <w:t>,</w:t>
      </w:r>
      <w:r w:rsidRPr="00ED5F24">
        <w:t xml:space="preserve"> სექტორის სპეციფიკიდან გამომდინარე და იმ გარემოების გათვალისწინებით, რომ ამ სფეროში ეს ქვეყნის რიგით მესამე სტრატეგიული დოკუმენტია. თუმცა პრაქტიკაში ასე არაა, რადგან წლიდან წლამდე ჩნდება ახალი და განსხვავებული გამოწვევები</w:t>
      </w:r>
      <w:r w:rsidR="00A00B7D" w:rsidRPr="00ED5F24">
        <w:t>,</w:t>
      </w:r>
      <w:r w:rsidRPr="00ED5F24">
        <w:t xml:space="preserve"> მათთან ერთად </w:t>
      </w:r>
      <w:r w:rsidR="00A00B7D" w:rsidRPr="00ED5F24">
        <w:t xml:space="preserve">კი </w:t>
      </w:r>
      <w:r w:rsidRPr="00ED5F24">
        <w:t>იცვლება სფეროს მარეგულირებელი საკანონმდებლო და ინსტიტუციური ჩარჩო, ვითარდება თვითონ სექტორი, რასაც თან სდევს ახალი აქტორების და სამიზნე ჯგუფების გაჩენა, რომლებზეც სტრატეგიის განხორციელება გავლენას მოახდენს</w:t>
      </w:r>
      <w:r w:rsidR="00BB0795" w:rsidRPr="00ED5F24">
        <w:t xml:space="preserve"> და პირ</w:t>
      </w:r>
      <w:r w:rsidR="00622962" w:rsidRPr="00ED5F24">
        <w:t>იქით</w:t>
      </w:r>
      <w:r w:rsidRPr="00ED5F24">
        <w:t xml:space="preserve">. </w:t>
      </w:r>
      <w:r w:rsidR="00BB0795" w:rsidRPr="00ED5F24">
        <w:t xml:space="preserve">სწორედ ამიტომ </w:t>
      </w:r>
      <w:r w:rsidR="0089311F" w:rsidRPr="00ED5F24">
        <w:t xml:space="preserve">სახელმწიფოს </w:t>
      </w:r>
      <w:r w:rsidRPr="00ED5F24">
        <w:t>სექტორული პოლიტიკის ფორმირების პროცესში უდიდესი მნიშვნელობა ენიჭება</w:t>
      </w:r>
      <w:r w:rsidR="00BB0795" w:rsidRPr="00ED5F24">
        <w:t xml:space="preserve"> </w:t>
      </w:r>
      <w:r w:rsidR="0089311F" w:rsidRPr="00ED5F24">
        <w:t xml:space="preserve">შესაბამისი ცოდნის მქონე </w:t>
      </w:r>
      <w:r w:rsidR="00E4788C" w:rsidRPr="00ED5F24">
        <w:t>საერთაშორისო, არასამთავრობო და აკადემიური წრეების ჩართულობასა და ექსპერტიზას</w:t>
      </w:r>
      <w:r w:rsidRPr="00ED5F24">
        <w:t>.</w:t>
      </w:r>
    </w:p>
    <w:p w14:paraId="6E6537F4" w14:textId="4CDD41CC" w:rsidR="006E4905" w:rsidRPr="00ED5F24" w:rsidRDefault="006E4905" w:rsidP="00A03C20">
      <w:pPr>
        <w:jc w:val="both"/>
      </w:pPr>
      <w:r w:rsidRPr="00ED5F24">
        <w:rPr>
          <w:rFonts w:cs="Sylfaen"/>
        </w:rPr>
        <w:t xml:space="preserve">2021-2030 წლების </w:t>
      </w:r>
      <w:r w:rsidR="00311726" w:rsidRPr="00ED5F24">
        <w:rPr>
          <w:rFonts w:cs="Sylfaen"/>
        </w:rPr>
        <w:t xml:space="preserve">მიგრაციის სტრატეგიის </w:t>
      </w:r>
      <w:r w:rsidRPr="00ED5F24">
        <w:rPr>
          <w:rFonts w:cs="Sylfaen"/>
        </w:rPr>
        <w:t>მომზადების</w:t>
      </w:r>
      <w:r w:rsidR="00DE0EE3" w:rsidRPr="00ED5F24">
        <w:rPr>
          <w:rFonts w:cs="Sylfaen"/>
        </w:rPr>
        <w:t xml:space="preserve"> პროცესი და</w:t>
      </w:r>
      <w:r w:rsidR="00BB0736" w:rsidRPr="00ED5F24">
        <w:rPr>
          <w:rFonts w:cs="Sylfaen"/>
        </w:rPr>
        <w:t xml:space="preserve"> </w:t>
      </w:r>
      <w:r w:rsidRPr="00ED5F24">
        <w:rPr>
          <w:rFonts w:cs="Sylfaen"/>
        </w:rPr>
        <w:t xml:space="preserve">მასთან დაკავშირებული </w:t>
      </w:r>
      <w:r w:rsidR="00BB0736" w:rsidRPr="00ED5F24">
        <w:rPr>
          <w:rFonts w:cs="Sylfaen"/>
        </w:rPr>
        <w:t xml:space="preserve">საჯარო კონსულტაციები </w:t>
      </w:r>
      <w:r w:rsidR="00BB0736" w:rsidRPr="00ED5F24">
        <w:t>საქართველოს მთავრობის 2019 წლის 20 დეკემბრის #629 დადგენილებით დამტკიცებული „პოლიტიკის დოკუმენტების შემუშავების, მონიტორინგისა და შეფასების წესის“ შესაბამისად</w:t>
      </w:r>
      <w:r w:rsidR="007B2669" w:rsidRPr="00ED5F24">
        <w:t xml:space="preserve"> </w:t>
      </w:r>
      <w:r w:rsidR="007B2669" w:rsidRPr="00ED5F24">
        <w:rPr>
          <w:rFonts w:cs="Sylfaen"/>
        </w:rPr>
        <w:t>წარიმართა</w:t>
      </w:r>
      <w:r w:rsidR="00BB0736" w:rsidRPr="00ED5F24">
        <w:t>.</w:t>
      </w:r>
      <w:r w:rsidR="00DE0EE3" w:rsidRPr="00ED5F24">
        <w:t xml:space="preserve"> </w:t>
      </w:r>
      <w:r w:rsidRPr="00ED5F24">
        <w:t>მიგრაციის საკითხთა სამთავრობო კომისიის (მსსკ/კომისია) პარტნიორი ორგანიზაციების ჩართულობა სტრატეგიის შემუშავების დასაწყისშივე იყო უზრუნველყოფილი.</w:t>
      </w:r>
      <w:r w:rsidR="008D4F89" w:rsidRPr="00ED5F24">
        <w:t xml:space="preserve"> </w:t>
      </w:r>
      <w:r w:rsidRPr="00ED5F24">
        <w:t>პირველ ეტაპზე მათ (კომისიის ფარგლებში საკონსულტაციო სტატუსის და შესაბამისი საექსპერტო ცოდნის მქონე საერთაშორისო და არასამთავრობო ორგანიზაციებს)</w:t>
      </w:r>
      <w:r w:rsidR="00ED5F24">
        <w:rPr>
          <w:lang w:val="en-US"/>
        </w:rPr>
        <w:t>,</w:t>
      </w:r>
      <w:r w:rsidRPr="00ED5F24">
        <w:t xml:space="preserve"> მიგრაციის ლაბორატორიის</w:t>
      </w:r>
      <w:r w:rsidR="00E4788C" w:rsidRPr="00ED5F24">
        <w:rPr>
          <w:rStyle w:val="FootnoteReference"/>
        </w:rPr>
        <w:footnoteReference w:id="1"/>
      </w:r>
      <w:r w:rsidR="001F094B" w:rsidRPr="00ED5F24">
        <w:t xml:space="preserve"> </w:t>
      </w:r>
      <w:r w:rsidRPr="00ED5F24">
        <w:t>(სამუშაო</w:t>
      </w:r>
      <w:r w:rsidR="00552213">
        <w:t xml:space="preserve"> </w:t>
      </w:r>
      <w:r w:rsidRPr="00ED5F24">
        <w:t>ჯგუფი</w:t>
      </w:r>
      <w:r w:rsidR="004A0BA0" w:rsidRPr="00ED5F24">
        <w:rPr>
          <w:rStyle w:val="FootnoteReference"/>
        </w:rPr>
        <w:footnoteReference w:id="2"/>
      </w:r>
      <w:r w:rsidRPr="00ED5F24">
        <w:t>) გადაწყვეტილებით</w:t>
      </w:r>
      <w:r w:rsidR="00ED5F24">
        <w:rPr>
          <w:lang w:val="en-US"/>
        </w:rPr>
        <w:t>,</w:t>
      </w:r>
      <w:r w:rsidRPr="00ED5F24">
        <w:t xml:space="preserve"> წარედგინათ </w:t>
      </w:r>
      <w:r w:rsidR="003100C8" w:rsidRPr="00ED5F24">
        <w:t xml:space="preserve">2021-2030 წლების საქართველოს მიგრაციის სტრატეგიის კონცეფცია, რომელიც </w:t>
      </w:r>
      <w:r w:rsidRPr="00ED5F24">
        <w:t xml:space="preserve">მოგვიანებით </w:t>
      </w:r>
      <w:r w:rsidR="00660A0E" w:rsidRPr="00ED5F24">
        <w:t xml:space="preserve">(2019 წ.) </w:t>
      </w:r>
      <w:r w:rsidRPr="00ED5F24">
        <w:t xml:space="preserve">მათთან ერთად </w:t>
      </w:r>
      <w:r w:rsidR="001F094B" w:rsidRPr="00ED5F24">
        <w:t xml:space="preserve">იქნა </w:t>
      </w:r>
      <w:r w:rsidR="00660A0E" w:rsidRPr="00ED5F24">
        <w:t xml:space="preserve">მიღებული  </w:t>
      </w:r>
      <w:r w:rsidRPr="00ED5F24">
        <w:t>კომისიის მიერ.</w:t>
      </w:r>
      <w:r w:rsidR="0039780B" w:rsidRPr="00ED5F24">
        <w:t xml:space="preserve"> მეორე ეტაპზე (2020 წ. თებერვალი) მიგრაციის ლაბორატორიის მიერ სიტუაციის (პრობლემების</w:t>
      </w:r>
      <w:r w:rsidR="005B1F88" w:rsidRPr="00ED5F24">
        <w:t xml:space="preserve">) </w:t>
      </w:r>
      <w:r w:rsidR="0039780B" w:rsidRPr="00ED5F24">
        <w:t xml:space="preserve">ანალიზის </w:t>
      </w:r>
      <w:r w:rsidR="008D1EB7">
        <w:t>წარმოდგენა</w:t>
      </w:r>
      <w:r w:rsidR="008D1EB7" w:rsidRPr="00ED5F24">
        <w:t xml:space="preserve"> </w:t>
      </w:r>
      <w:r w:rsidR="0039780B" w:rsidRPr="00ED5F24">
        <w:t xml:space="preserve">ეთხოვა მსსკ-ში საკონსულტაციო სტატუსის მქონე </w:t>
      </w:r>
      <w:r w:rsidR="0039780B" w:rsidRPr="00ED5F24">
        <w:lastRenderedPageBreak/>
        <w:t>ოთხ საერთაშორისო ავტორიტეტულ ორგანიზაციას</w:t>
      </w:r>
      <w:r w:rsidR="0039780B" w:rsidRPr="00ED5F24">
        <w:rPr>
          <w:rStyle w:val="FootnoteReference"/>
        </w:rPr>
        <w:footnoteReference w:id="3"/>
      </w:r>
      <w:r w:rsidR="0039780B" w:rsidRPr="00ED5F24">
        <w:t>,</w:t>
      </w:r>
      <w:r w:rsidR="001F094B" w:rsidRPr="00ED5F24">
        <w:t xml:space="preserve"> </w:t>
      </w:r>
      <w:r w:rsidR="005B1F88" w:rsidRPr="00ED5F24">
        <w:t xml:space="preserve">რომელთა </w:t>
      </w:r>
      <w:r w:rsidR="008D1EB7">
        <w:t>მოწოდებული</w:t>
      </w:r>
      <w:r w:rsidR="005B1F88" w:rsidRPr="00ED5F24">
        <w:t xml:space="preserve"> ვრცელი მასალა ლაბორატორიის მიერ მაქსიმალურად იქნა გამოყენებული სტრატეგიის სიტუაციის ანალიზზე მუშაობისას და შესაბამისი სტრატეგიული ამოცანების განსაზღვრისას.</w:t>
      </w:r>
    </w:p>
    <w:p w14:paraId="668FCF28" w14:textId="39A2ADFF" w:rsidR="0039780B" w:rsidRPr="003B20ED" w:rsidRDefault="002961E4" w:rsidP="00A03C20">
      <w:pPr>
        <w:jc w:val="both"/>
      </w:pPr>
      <w:r w:rsidRPr="00ED5F24">
        <w:t xml:space="preserve">საჯარო კონსულტაციების მესამე ფაზა </w:t>
      </w:r>
      <w:r w:rsidR="00E17BA4" w:rsidRPr="00ED5F24">
        <w:t>(</w:t>
      </w:r>
      <w:r w:rsidRPr="00ED5F24">
        <w:t>2020 წლის ოქტომბერ-</w:t>
      </w:r>
      <w:r w:rsidR="00E17BA4" w:rsidRPr="00ED5F24">
        <w:t>ნოემბერ</w:t>
      </w:r>
      <w:r w:rsidRPr="00ED5F24">
        <w:t>ი</w:t>
      </w:r>
      <w:r w:rsidR="00576380" w:rsidRPr="00ED5F24">
        <w:t xml:space="preserve">) </w:t>
      </w:r>
      <w:r w:rsidRPr="00ED5F24">
        <w:t>უფრო წარმომადგენლობითი და ინკლუზიური იყო. საერთაშორისო პარტნიორებთან წინასწარი კონსულტაციის საფუძველზე მომზადებული სტრატეგიის პროექტი პარალელურ და მაქსიმალურად დაჩქარებულ რეჟიმში ითარგმნა ინგლისურ ენაზე და ელექტრონული ფოსტით გაეგზავნა იმ ზემოხსენებულ საერთაშორისო ორგანიზაციებს, რომელთა მიერ მოწოდებული სიტუაციის</w:t>
      </w:r>
      <w:r w:rsidR="002E3F7B" w:rsidRPr="00ED5F24">
        <w:t xml:space="preserve"> (პრობლემების)</w:t>
      </w:r>
      <w:r w:rsidRPr="00ED5F24">
        <w:t xml:space="preserve"> ანალიზი გამოყენებულ იქნა სტრატეგიის შემუშავებისას</w:t>
      </w:r>
      <w:r w:rsidR="00A45834" w:rsidRPr="00ED5F24">
        <w:t xml:space="preserve">. </w:t>
      </w:r>
      <w:r w:rsidRPr="00ED5F24">
        <w:t>ამავდროულად, ეს პროცესი გარკვეულწილად მათი კონტრიბუციის ვერიფიკაციასაც ისახავდა მიზნად. სტრატეგიის პროექტის გაგზავნასთან ერთად</w:t>
      </w:r>
      <w:r w:rsidR="00576380" w:rsidRPr="00ED5F24">
        <w:t>,</w:t>
      </w:r>
      <w:r w:rsidRPr="00ED5F24">
        <w:t xml:space="preserve"> ხსენებულ ორგანიზაციებთან საგანგებოდ გაიმართა დისტანციური შეხვედრა, რომ</w:t>
      </w:r>
      <w:r w:rsidR="008D1EB7">
        <w:t>ელზეც მონაწილეებმა განიხილეს</w:t>
      </w:r>
      <w:r w:rsidRPr="00ED5F24">
        <w:t xml:space="preserve"> </w:t>
      </w:r>
      <w:r w:rsidR="008D1EB7" w:rsidRPr="00ED5F24">
        <w:t xml:space="preserve"> </w:t>
      </w:r>
      <w:r w:rsidR="002E3F7B" w:rsidRPr="00ED5F24">
        <w:t>დოკუმენტთან დაკავშირებული</w:t>
      </w:r>
      <w:r w:rsidRPr="00ED5F24">
        <w:t xml:space="preserve"> სხვადასხვა სპეციფიკური საკითხი</w:t>
      </w:r>
      <w:r w:rsidR="002E3F7B" w:rsidRPr="00ED5F24">
        <w:t xml:space="preserve"> (მაგ.</w:t>
      </w:r>
      <w:r w:rsidR="004F66F5" w:rsidRPr="00ED5F24">
        <w:t>,</w:t>
      </w:r>
      <w:r w:rsidR="002E3F7B" w:rsidRPr="00ED5F24">
        <w:t xml:space="preserve"> ის, რომ </w:t>
      </w:r>
      <w:r w:rsidR="00A45834" w:rsidRPr="00ED5F24">
        <w:t>სტრ</w:t>
      </w:r>
      <w:r w:rsidR="00660A0E" w:rsidRPr="00ED5F24">
        <w:t>ა</w:t>
      </w:r>
      <w:r w:rsidR="00A45834" w:rsidRPr="00ED5F24">
        <w:t>ტეგია</w:t>
      </w:r>
      <w:r w:rsidR="002E3F7B" w:rsidRPr="00ED5F24">
        <w:t xml:space="preserve"> მომზადდა მთავრობის მიერ დამტკიცებული პოლიტიკის დაგეგმვის ახალი სახელმძღვანელოს მოთხოვნების შესაბამისად</w:t>
      </w:r>
      <w:r w:rsidR="00660A0E" w:rsidRPr="00ED5F24">
        <w:t xml:space="preserve"> და ა.შ.</w:t>
      </w:r>
      <w:r w:rsidR="002E3F7B" w:rsidRPr="00ED5F24">
        <w:t>)</w:t>
      </w:r>
      <w:r w:rsidRPr="00ED5F24">
        <w:t xml:space="preserve">, რათა პარტნიორებს გაადვილებოდათ </w:t>
      </w:r>
      <w:r w:rsidR="00576380" w:rsidRPr="00ED5F24">
        <w:t xml:space="preserve">დოკუმენტის არქიტექტურის აღქმა და </w:t>
      </w:r>
      <w:r w:rsidRPr="00ED5F24">
        <w:t>მასზე მუშაობა.</w:t>
      </w:r>
      <w:r w:rsidR="002E3F7B" w:rsidRPr="00ED5F24">
        <w:t xml:space="preserve"> მოგვიანებით (2020 წ. ნოემბერში) სტრატეგიის პროექტი ელექტრონული ფოსტით გაეგზავნა მსსკ-ში საკონსულტაციო სტატუსის მქონე </w:t>
      </w:r>
      <w:r w:rsidR="004957DD" w:rsidRPr="00ED5F24">
        <w:t>ოთხ</w:t>
      </w:r>
      <w:r w:rsidR="002E3F7B" w:rsidRPr="00ED5F24">
        <w:t xml:space="preserve"> არასამთავრობო ორგანიზაციას</w:t>
      </w:r>
      <w:r w:rsidR="002E3F7B" w:rsidRPr="00ED5F24">
        <w:rPr>
          <w:rStyle w:val="FootnoteReference"/>
        </w:rPr>
        <w:footnoteReference w:id="4"/>
      </w:r>
      <w:r w:rsidR="002E3F7B" w:rsidRPr="00ED5F24">
        <w:t>, აგრეთვე</w:t>
      </w:r>
      <w:r w:rsidR="00ED2AA1">
        <w:t>,</w:t>
      </w:r>
      <w:r w:rsidR="002E3F7B" w:rsidRPr="00ED5F24">
        <w:t xml:space="preserve"> სახალხო დამცველის აპარატს</w:t>
      </w:r>
      <w:r w:rsidR="00142983">
        <w:t xml:space="preserve">, </w:t>
      </w:r>
      <w:r w:rsidR="00B043CF">
        <w:t>საქართველოს მთავრობის ადმინისტრაციის ადამიანის უფლებათა დაცვის სამდივნოს</w:t>
      </w:r>
      <w:r w:rsidR="003B20ED">
        <w:rPr>
          <w:lang w:val="en-US"/>
        </w:rPr>
        <w:t xml:space="preserve"> </w:t>
      </w:r>
      <w:r w:rsidR="003B20ED" w:rsidRPr="003B20ED">
        <w:rPr>
          <w:lang w:val="en-US"/>
        </w:rPr>
        <w:t>(</w:t>
      </w:r>
      <w:r w:rsidR="003B20ED" w:rsidRPr="003B20ED">
        <w:t xml:space="preserve">მათ შორის </w:t>
      </w:r>
      <w:r w:rsidR="003B20ED" w:rsidRPr="003B20ED">
        <w:rPr>
          <w:color w:val="000000"/>
        </w:rPr>
        <w:t xml:space="preserve">საქართველოს პრემიერ-მინისტრის </w:t>
      </w:r>
      <w:r w:rsidR="003B20ED">
        <w:rPr>
          <w:color w:val="000000"/>
        </w:rPr>
        <w:t>მრჩეველს</w:t>
      </w:r>
      <w:r w:rsidR="003B20ED" w:rsidRPr="003B20ED">
        <w:rPr>
          <w:color w:val="000000"/>
        </w:rPr>
        <w:t xml:space="preserve"> ადამიანის უფლებების და გენდერული თანასწორობის საკითხებში)</w:t>
      </w:r>
      <w:r w:rsidR="00B043CF" w:rsidRPr="003B20ED">
        <w:t xml:space="preserve"> და</w:t>
      </w:r>
      <w:r w:rsidR="00B043CF" w:rsidRPr="003B20ED">
        <w:rPr>
          <w:lang w:val="en-US"/>
        </w:rPr>
        <w:t xml:space="preserve"> </w:t>
      </w:r>
      <w:r w:rsidR="002E3F7B" w:rsidRPr="003B20ED">
        <w:t>თბილისის სახელმწიფო უნივერსიტეტს</w:t>
      </w:r>
      <w:r w:rsidR="002E3F7B" w:rsidRPr="003B20ED">
        <w:rPr>
          <w:rStyle w:val="FootnoteReference"/>
        </w:rPr>
        <w:footnoteReference w:id="5"/>
      </w:r>
      <w:r w:rsidR="00B043CF" w:rsidRPr="003B20ED">
        <w:t>.</w:t>
      </w:r>
    </w:p>
    <w:p w14:paraId="57B51C56" w14:textId="56094DDD" w:rsidR="009E1038" w:rsidRPr="00ED5F24" w:rsidRDefault="009E1038" w:rsidP="009E1038">
      <w:pPr>
        <w:jc w:val="both"/>
      </w:pPr>
      <w:r w:rsidRPr="00ED5F24">
        <w:t>აღნიშნულ ორგანიზაციებს სტრატეგიის პროექტთან ერთად გაეგზავნათ მსსკ-ის სამდივნოს მიერ საგანგებოდ მომზადებული ცხრილი (იხ. სურათი #1) კომენტარების</w:t>
      </w:r>
      <w:r w:rsidR="00ED2AA1">
        <w:t>ა</w:t>
      </w:r>
      <w:r w:rsidRPr="00ED5F24">
        <w:t xml:space="preserve"> და რეკომენდაციების თემატური მიმართულებების მიხედვით ორგანიზებულად</w:t>
      </w:r>
      <w:r w:rsidR="00916FE0">
        <w:t xml:space="preserve"> და სტრუქტურულად </w:t>
      </w:r>
      <w:r w:rsidRPr="00ED5F24">
        <w:t>წარმოსადგენად.</w:t>
      </w:r>
    </w:p>
    <w:p w14:paraId="24D6401A" w14:textId="17920E55" w:rsidR="00425A7D" w:rsidRPr="00ED5F24" w:rsidRDefault="009E1038" w:rsidP="00262CEC">
      <w:pPr>
        <w:spacing w:after="0"/>
        <w:jc w:val="both"/>
        <w:rPr>
          <w:b/>
        </w:rPr>
      </w:pPr>
      <w:r w:rsidRPr="00ED5F24">
        <w:rPr>
          <w:b/>
        </w:rPr>
        <w:t>სურათი</w:t>
      </w:r>
      <w:r w:rsidR="00425A7D" w:rsidRPr="00ED5F24">
        <w:rPr>
          <w:b/>
        </w:rPr>
        <w:t xml:space="preserve"> #1</w:t>
      </w:r>
    </w:p>
    <w:tbl>
      <w:tblPr>
        <w:tblStyle w:val="TableGrid"/>
        <w:tblW w:w="9270" w:type="dxa"/>
        <w:tblInd w:w="-5" w:type="dxa"/>
        <w:tblLook w:val="04A0" w:firstRow="1" w:lastRow="0" w:firstColumn="1" w:lastColumn="0" w:noHBand="0" w:noVBand="1"/>
      </w:tblPr>
      <w:tblGrid>
        <w:gridCol w:w="1359"/>
        <w:gridCol w:w="4727"/>
        <w:gridCol w:w="3184"/>
      </w:tblGrid>
      <w:tr w:rsidR="00425A7D" w:rsidRPr="00ED5F24" w14:paraId="470EEF8E" w14:textId="77777777" w:rsidTr="00576380">
        <w:tc>
          <w:tcPr>
            <w:tcW w:w="1359" w:type="dxa"/>
            <w:shd w:val="clear" w:color="auto" w:fill="D9D9D9" w:themeFill="background1" w:themeFillShade="D9"/>
          </w:tcPr>
          <w:p w14:paraId="4A65D985" w14:textId="77777777" w:rsidR="00425A7D" w:rsidRPr="00ED5F24" w:rsidRDefault="00425A7D" w:rsidP="00E16996">
            <w:pPr>
              <w:spacing w:line="276" w:lineRule="auto"/>
              <w:jc w:val="center"/>
              <w:rPr>
                <w:b/>
                <w:i/>
                <w:sz w:val="20"/>
                <w:szCs w:val="20"/>
              </w:rPr>
            </w:pPr>
            <w:r w:rsidRPr="00ED5F24">
              <w:rPr>
                <w:b/>
                <w:i/>
                <w:sz w:val="20"/>
                <w:szCs w:val="20"/>
              </w:rPr>
              <w:t>სტრატეგიის ნაწილი</w:t>
            </w:r>
          </w:p>
          <w:p w14:paraId="4056A65F" w14:textId="77777777" w:rsidR="00425A7D" w:rsidRPr="00ED5F24" w:rsidRDefault="00425A7D" w:rsidP="00E16996">
            <w:pPr>
              <w:spacing w:line="276" w:lineRule="auto"/>
              <w:jc w:val="center"/>
              <w:rPr>
                <w:b/>
                <w:i/>
                <w:sz w:val="20"/>
                <w:szCs w:val="20"/>
              </w:rPr>
            </w:pPr>
            <w:r w:rsidRPr="00ED5F24">
              <w:rPr>
                <w:b/>
                <w:i/>
                <w:sz w:val="20"/>
                <w:szCs w:val="20"/>
              </w:rPr>
              <w:t>Part of the Strategy</w:t>
            </w:r>
          </w:p>
        </w:tc>
        <w:tc>
          <w:tcPr>
            <w:tcW w:w="4727" w:type="dxa"/>
            <w:shd w:val="clear" w:color="auto" w:fill="D9D9D9" w:themeFill="background1" w:themeFillShade="D9"/>
          </w:tcPr>
          <w:p w14:paraId="5739694B" w14:textId="77777777" w:rsidR="00425A7D" w:rsidRPr="00ED5F24" w:rsidRDefault="00425A7D" w:rsidP="00E16996">
            <w:pPr>
              <w:spacing w:line="276" w:lineRule="auto"/>
              <w:jc w:val="center"/>
              <w:rPr>
                <w:b/>
                <w:i/>
                <w:sz w:val="20"/>
                <w:szCs w:val="20"/>
              </w:rPr>
            </w:pPr>
            <w:r w:rsidRPr="00ED5F24">
              <w:rPr>
                <w:b/>
                <w:i/>
                <w:sz w:val="20"/>
                <w:szCs w:val="20"/>
              </w:rPr>
              <w:t>პარტნიორი ორგანიზაციის მოსაზრება/რეკომენდაცია</w:t>
            </w:r>
          </w:p>
          <w:p w14:paraId="508959D5" w14:textId="77777777" w:rsidR="00425A7D" w:rsidRPr="00ED5F24" w:rsidRDefault="00425A7D" w:rsidP="00E16996">
            <w:pPr>
              <w:spacing w:line="276" w:lineRule="auto"/>
              <w:jc w:val="center"/>
              <w:rPr>
                <w:i/>
                <w:sz w:val="16"/>
                <w:szCs w:val="16"/>
              </w:rPr>
            </w:pPr>
            <w:r w:rsidRPr="00ED5F24">
              <w:rPr>
                <w:i/>
                <w:sz w:val="16"/>
                <w:szCs w:val="16"/>
              </w:rPr>
              <w:t xml:space="preserve">(პარტნიორი ორგანიზაციის მოსაზრება/რეკომენდაცია უნდა იყოს კონკრეტული და საჭიროების შემთხვევაში </w:t>
            </w:r>
            <w:r w:rsidRPr="00ED5F24">
              <w:rPr>
                <w:i/>
                <w:sz w:val="16"/>
                <w:szCs w:val="16"/>
              </w:rPr>
              <w:lastRenderedPageBreak/>
              <w:t>შემოთავაზებული იყოს შესაბამისი ალტერნატიული ფორმულირება)</w:t>
            </w:r>
          </w:p>
          <w:p w14:paraId="40481652" w14:textId="77777777" w:rsidR="00425A7D" w:rsidRPr="00ED5F24" w:rsidRDefault="00425A7D" w:rsidP="00E16996">
            <w:pPr>
              <w:spacing w:line="276" w:lineRule="auto"/>
              <w:jc w:val="center"/>
              <w:rPr>
                <w:b/>
                <w:i/>
                <w:sz w:val="20"/>
                <w:szCs w:val="20"/>
              </w:rPr>
            </w:pPr>
            <w:r w:rsidRPr="00ED5F24">
              <w:rPr>
                <w:b/>
                <w:i/>
                <w:sz w:val="20"/>
                <w:szCs w:val="20"/>
              </w:rPr>
              <w:t>Partner Organizations’ comments/recommendations</w:t>
            </w:r>
          </w:p>
          <w:p w14:paraId="288D2EBE" w14:textId="77777777" w:rsidR="00425A7D" w:rsidRPr="00ED5F24" w:rsidRDefault="00425A7D" w:rsidP="00E16996">
            <w:pPr>
              <w:spacing w:line="276" w:lineRule="auto"/>
              <w:jc w:val="center"/>
              <w:rPr>
                <w:i/>
                <w:sz w:val="16"/>
                <w:szCs w:val="16"/>
              </w:rPr>
            </w:pPr>
            <w:r w:rsidRPr="00ED5F24">
              <w:rPr>
                <w:i/>
                <w:sz w:val="16"/>
                <w:szCs w:val="16"/>
              </w:rPr>
              <w:t xml:space="preserve">(Comments/recommendations of the partner organizations should be concrete and in case of need relevant alternative formulations              should be submitted) </w:t>
            </w:r>
          </w:p>
        </w:tc>
        <w:tc>
          <w:tcPr>
            <w:tcW w:w="3184" w:type="dxa"/>
            <w:shd w:val="clear" w:color="auto" w:fill="D9D9D9" w:themeFill="background1" w:themeFillShade="D9"/>
          </w:tcPr>
          <w:p w14:paraId="4B46F887" w14:textId="77777777" w:rsidR="00425A7D" w:rsidRPr="00ED5F24" w:rsidRDefault="00425A7D" w:rsidP="00E16996">
            <w:pPr>
              <w:spacing w:line="276" w:lineRule="auto"/>
              <w:jc w:val="center"/>
              <w:rPr>
                <w:b/>
                <w:i/>
                <w:sz w:val="20"/>
                <w:szCs w:val="20"/>
              </w:rPr>
            </w:pPr>
            <w:r w:rsidRPr="00ED5F24">
              <w:rPr>
                <w:b/>
                <w:i/>
                <w:sz w:val="20"/>
                <w:szCs w:val="20"/>
              </w:rPr>
              <w:lastRenderedPageBreak/>
              <w:t>მსსკ-ის საპასუხო პოზიცია</w:t>
            </w:r>
          </w:p>
          <w:p w14:paraId="7CB93426" w14:textId="77777777" w:rsidR="00425A7D" w:rsidRPr="00ED5F24" w:rsidRDefault="00425A7D" w:rsidP="00E16996">
            <w:pPr>
              <w:spacing w:line="276" w:lineRule="auto"/>
              <w:jc w:val="center"/>
              <w:rPr>
                <w:i/>
                <w:sz w:val="16"/>
                <w:szCs w:val="16"/>
              </w:rPr>
            </w:pPr>
            <w:r w:rsidRPr="00ED5F24">
              <w:rPr>
                <w:i/>
                <w:sz w:val="16"/>
                <w:szCs w:val="16"/>
              </w:rPr>
              <w:t>(კომისიის წევრი პროფილური უწყების დასაბუთებული პოზიცია პარტნიორი ორგანიზაციის თითოეულ მოსაზრებასა და რეკომენდაციაზე)</w:t>
            </w:r>
          </w:p>
          <w:p w14:paraId="68127F3A" w14:textId="77777777" w:rsidR="00425A7D" w:rsidRPr="00ED5F24" w:rsidRDefault="00425A7D" w:rsidP="00E16996">
            <w:pPr>
              <w:spacing w:line="276" w:lineRule="auto"/>
              <w:jc w:val="center"/>
              <w:rPr>
                <w:b/>
                <w:i/>
                <w:sz w:val="20"/>
                <w:szCs w:val="20"/>
              </w:rPr>
            </w:pPr>
            <w:r w:rsidRPr="00ED5F24">
              <w:rPr>
                <w:b/>
                <w:i/>
                <w:sz w:val="20"/>
                <w:szCs w:val="20"/>
              </w:rPr>
              <w:lastRenderedPageBreak/>
              <w:t>SCMI Response</w:t>
            </w:r>
          </w:p>
          <w:p w14:paraId="28A7C3CA" w14:textId="77777777" w:rsidR="00425A7D" w:rsidRPr="00ED5F24" w:rsidRDefault="00425A7D" w:rsidP="00E16996">
            <w:pPr>
              <w:spacing w:line="276" w:lineRule="auto"/>
              <w:jc w:val="center"/>
              <w:rPr>
                <w:b/>
                <w:i/>
                <w:sz w:val="20"/>
                <w:szCs w:val="20"/>
              </w:rPr>
            </w:pPr>
            <w:r w:rsidRPr="00ED5F24">
              <w:rPr>
                <w:i/>
                <w:sz w:val="16"/>
                <w:szCs w:val="16"/>
              </w:rPr>
              <w:t>(Substantiated positions of the relevant SCMI member agencies on the each comment/recommendation)</w:t>
            </w:r>
          </w:p>
        </w:tc>
      </w:tr>
      <w:tr w:rsidR="00425A7D" w:rsidRPr="00ED5F24" w14:paraId="16516265" w14:textId="77777777" w:rsidTr="00576380">
        <w:tc>
          <w:tcPr>
            <w:tcW w:w="1359" w:type="dxa"/>
            <w:shd w:val="clear" w:color="auto" w:fill="auto"/>
          </w:tcPr>
          <w:p w14:paraId="2308E5E4" w14:textId="77777777" w:rsidR="00425A7D" w:rsidRPr="00ED5F24" w:rsidRDefault="00425A7D" w:rsidP="00E16996">
            <w:pPr>
              <w:spacing w:line="276" w:lineRule="auto"/>
              <w:jc w:val="center"/>
              <w:rPr>
                <w:b/>
                <w:i/>
                <w:sz w:val="20"/>
                <w:szCs w:val="20"/>
              </w:rPr>
            </w:pPr>
          </w:p>
        </w:tc>
        <w:tc>
          <w:tcPr>
            <w:tcW w:w="4727" w:type="dxa"/>
            <w:shd w:val="clear" w:color="auto" w:fill="auto"/>
          </w:tcPr>
          <w:p w14:paraId="2768245C" w14:textId="77777777" w:rsidR="00425A7D" w:rsidRPr="00ED5F24" w:rsidRDefault="00425A7D" w:rsidP="00E16996">
            <w:pPr>
              <w:spacing w:line="276" w:lineRule="auto"/>
              <w:jc w:val="center"/>
              <w:rPr>
                <w:b/>
                <w:i/>
                <w:sz w:val="20"/>
                <w:szCs w:val="20"/>
              </w:rPr>
            </w:pPr>
          </w:p>
        </w:tc>
        <w:tc>
          <w:tcPr>
            <w:tcW w:w="3184" w:type="dxa"/>
            <w:shd w:val="clear" w:color="auto" w:fill="auto"/>
          </w:tcPr>
          <w:p w14:paraId="6147B0AA" w14:textId="77777777" w:rsidR="00425A7D" w:rsidRPr="00ED5F24" w:rsidRDefault="00425A7D" w:rsidP="00E16996">
            <w:pPr>
              <w:spacing w:line="276" w:lineRule="auto"/>
              <w:jc w:val="center"/>
              <w:rPr>
                <w:b/>
                <w:i/>
                <w:sz w:val="20"/>
                <w:szCs w:val="20"/>
              </w:rPr>
            </w:pPr>
          </w:p>
        </w:tc>
      </w:tr>
    </w:tbl>
    <w:p w14:paraId="4B38811A" w14:textId="77777777" w:rsidR="00425A7D" w:rsidRPr="00ED5F24" w:rsidRDefault="00425A7D" w:rsidP="00425A7D">
      <w:pPr>
        <w:spacing w:after="0" w:line="120" w:lineRule="auto"/>
        <w:jc w:val="both"/>
      </w:pPr>
    </w:p>
    <w:p w14:paraId="4B0DC0C5" w14:textId="513D8F05" w:rsidR="009E1038" w:rsidRPr="00ED5F24" w:rsidRDefault="009E1038" w:rsidP="00A03C20">
      <w:pPr>
        <w:jc w:val="both"/>
      </w:pPr>
      <w:r w:rsidRPr="00ED5F24">
        <w:t xml:space="preserve">საჯარო კონსულტაციების მესამე ეტაპზე პარტნიორი ორგანიზაციებისგან წარმოდგენილ იქნა სხვადასხვა ტიპის და მოცულობის </w:t>
      </w:r>
      <w:r w:rsidR="00EC71AA">
        <w:rPr>
          <w:lang w:val="en-US"/>
        </w:rPr>
        <w:t>110-</w:t>
      </w:r>
      <w:r w:rsidR="00EC71AA">
        <w:t>ზე მეტი</w:t>
      </w:r>
      <w:r w:rsidRPr="00ED5F24">
        <w:t xml:space="preserve"> </w:t>
      </w:r>
      <w:r w:rsidR="003B20ED">
        <w:t>რეკომენდაცია</w:t>
      </w:r>
      <w:r w:rsidRPr="00ED5F24">
        <w:t xml:space="preserve"> და კომენტარი</w:t>
      </w:r>
      <w:r w:rsidR="00576380" w:rsidRPr="00ED5F24">
        <w:t>.</w:t>
      </w:r>
    </w:p>
    <w:p w14:paraId="384FD8C1" w14:textId="2CD03AC8" w:rsidR="00DD2D05" w:rsidRPr="00ED5F24" w:rsidRDefault="00DD2D05" w:rsidP="00DD2D05">
      <w:pPr>
        <w:spacing w:after="120"/>
        <w:jc w:val="both"/>
      </w:pPr>
      <w:r w:rsidRPr="00ED5F24">
        <w:t xml:space="preserve">პარტნიორი ორგანიზაციების ყველა დაფიქსირებული </w:t>
      </w:r>
      <w:r w:rsidR="003B20ED">
        <w:t>რეკომენდაცია</w:t>
      </w:r>
      <w:r w:rsidR="004F66F5" w:rsidRPr="00ED5F24">
        <w:t>/</w:t>
      </w:r>
      <w:r w:rsidRPr="00ED5F24">
        <w:t xml:space="preserve">კომენტარი დეტალურად იქნა განხილული მსსკ-ის მიგრაციის ლაბორატორიის ფარგლებში და თითოეულ მათგანზე მომზადდა პროფილური უწყებ(ებ)ის დასაბუთებული პასუხი </w:t>
      </w:r>
      <w:r w:rsidR="00576380" w:rsidRPr="00ED5F24">
        <w:t>ავტორი</w:t>
      </w:r>
      <w:r w:rsidRPr="00ED5F24">
        <w:t xml:space="preserve"> ორგანიზაციის შემოთავაზების გათვალისწინების, ნაწილობრივ გათვალისწინების ან არ</w:t>
      </w:r>
      <w:r w:rsidR="004F66F5" w:rsidRPr="00ED5F24">
        <w:t xml:space="preserve"> </w:t>
      </w:r>
      <w:r w:rsidRPr="00ED5F24">
        <w:t xml:space="preserve">გათვალისწინების შესახებ. ამასთან, პარტნიორი ორგანიზაციების მიერ წარმოდგენილი </w:t>
      </w:r>
      <w:r w:rsidR="003B20ED">
        <w:t>რეკომენდაციების</w:t>
      </w:r>
      <w:r w:rsidRPr="00ED5F24">
        <w:t>/კომენტარების განხილვის შედეგების</w:t>
      </w:r>
      <w:r w:rsidR="00F4138C" w:rsidRPr="00ED5F24">
        <w:t xml:space="preserve"> და სტრატეგიაში გათვალისწინების საკითხის</w:t>
      </w:r>
      <w:r w:rsidRPr="00ED5F24">
        <w:t xml:space="preserve"> ობიექტურად შეფასების მიზნით</w:t>
      </w:r>
      <w:r w:rsidR="004957DD" w:rsidRPr="00ED5F24">
        <w:t>,</w:t>
      </w:r>
      <w:r w:rsidRPr="00ED5F24">
        <w:t xml:space="preserve"> მომზადდა შესაბამისი სტატუსების მინიჭების კრიტერიუმები (იხ. სურათი #2).</w:t>
      </w:r>
    </w:p>
    <w:p w14:paraId="7132D8EC" w14:textId="5477D7AE" w:rsidR="00967FEE" w:rsidRPr="00ED5F24" w:rsidRDefault="00DD2D05" w:rsidP="00DD2D05">
      <w:pPr>
        <w:spacing w:after="120"/>
        <w:jc w:val="both"/>
        <w:rPr>
          <w:b/>
        </w:rPr>
      </w:pPr>
      <w:r w:rsidRPr="00ED5F24">
        <w:rPr>
          <w:b/>
        </w:rPr>
        <w:t>სურათი</w:t>
      </w:r>
      <w:r w:rsidR="00967FEE" w:rsidRPr="00ED5F24">
        <w:rPr>
          <w:b/>
        </w:rPr>
        <w:t xml:space="preserve"> #2</w:t>
      </w:r>
    </w:p>
    <w:tbl>
      <w:tblPr>
        <w:tblW w:w="9270" w:type="dxa"/>
        <w:tblInd w:w="-10" w:type="dxa"/>
        <w:tblCellMar>
          <w:left w:w="0" w:type="dxa"/>
          <w:right w:w="0" w:type="dxa"/>
        </w:tblCellMar>
        <w:tblLook w:val="04A0" w:firstRow="1" w:lastRow="0" w:firstColumn="1" w:lastColumn="0" w:noHBand="0" w:noVBand="1"/>
      </w:tblPr>
      <w:tblGrid>
        <w:gridCol w:w="2204"/>
        <w:gridCol w:w="7066"/>
      </w:tblGrid>
      <w:tr w:rsidR="00967FEE" w:rsidRPr="00ED5F24" w14:paraId="6EAE6322" w14:textId="77777777" w:rsidTr="00576380">
        <w:tc>
          <w:tcPr>
            <w:tcW w:w="2204"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6B8D244" w14:textId="77777777" w:rsidR="00967FEE" w:rsidRPr="00ED5F24" w:rsidRDefault="00967FEE" w:rsidP="00E16996">
            <w:pPr>
              <w:spacing w:after="0" w:line="240" w:lineRule="auto"/>
              <w:contextualSpacing/>
              <w:jc w:val="center"/>
              <w:rPr>
                <w:rFonts w:cstheme="minorHAnsi"/>
                <w:b/>
                <w:bCs/>
              </w:rPr>
            </w:pPr>
            <w:r w:rsidRPr="00ED5F24">
              <w:rPr>
                <w:rFonts w:cstheme="minorHAnsi"/>
                <w:b/>
                <w:bCs/>
              </w:rPr>
              <w:t>სტატუსი / Status</w:t>
            </w:r>
          </w:p>
        </w:tc>
        <w:tc>
          <w:tcPr>
            <w:tcW w:w="7066"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B675059" w14:textId="77777777" w:rsidR="00967FEE" w:rsidRPr="00ED5F24" w:rsidRDefault="00967FEE" w:rsidP="00E16996">
            <w:pPr>
              <w:spacing w:after="0" w:line="240" w:lineRule="auto"/>
              <w:contextualSpacing/>
              <w:jc w:val="center"/>
              <w:rPr>
                <w:rFonts w:cstheme="minorHAnsi"/>
                <w:b/>
                <w:bCs/>
              </w:rPr>
            </w:pPr>
            <w:r w:rsidRPr="00ED5F24">
              <w:rPr>
                <w:rFonts w:cstheme="minorHAnsi"/>
                <w:b/>
                <w:bCs/>
              </w:rPr>
              <w:t xml:space="preserve">სტატუსის მინიჭების კრიტერიუმი / </w:t>
            </w:r>
          </w:p>
          <w:p w14:paraId="0582316A" w14:textId="77777777" w:rsidR="00967FEE" w:rsidRPr="00ED5F24" w:rsidRDefault="00967FEE" w:rsidP="00E16996">
            <w:pPr>
              <w:spacing w:after="0" w:line="240" w:lineRule="auto"/>
              <w:contextualSpacing/>
              <w:jc w:val="center"/>
              <w:rPr>
                <w:rFonts w:cstheme="minorHAnsi"/>
                <w:b/>
                <w:bCs/>
              </w:rPr>
            </w:pPr>
            <w:r w:rsidRPr="00ED5F24">
              <w:rPr>
                <w:rFonts w:cstheme="minorHAnsi"/>
                <w:b/>
                <w:bCs/>
              </w:rPr>
              <w:t xml:space="preserve">Criterion for defining the status </w:t>
            </w:r>
          </w:p>
        </w:tc>
      </w:tr>
      <w:tr w:rsidR="00967FEE" w:rsidRPr="00ED5F24" w14:paraId="39932E1D" w14:textId="77777777" w:rsidTr="00576380">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DEEF6" w14:textId="77777777" w:rsidR="00967FEE" w:rsidRPr="00ED5F24" w:rsidRDefault="00967FEE" w:rsidP="00576380">
            <w:pPr>
              <w:spacing w:after="0" w:line="240" w:lineRule="auto"/>
              <w:contextualSpacing/>
              <w:jc w:val="center"/>
              <w:rPr>
                <w:rFonts w:cstheme="minorHAnsi"/>
                <w:b/>
                <w:bCs/>
                <w:sz w:val="20"/>
                <w:szCs w:val="20"/>
              </w:rPr>
            </w:pPr>
            <w:r w:rsidRPr="00ED5F24">
              <w:rPr>
                <w:rFonts w:cstheme="minorHAnsi"/>
                <w:b/>
                <w:bCs/>
                <w:sz w:val="20"/>
                <w:szCs w:val="20"/>
              </w:rPr>
              <w:t>გათვალისწინებულია</w:t>
            </w:r>
          </w:p>
          <w:p w14:paraId="1E652484" w14:textId="46E9C42F" w:rsidR="00967FEE" w:rsidRPr="00ED5F24" w:rsidRDefault="00967FEE" w:rsidP="00576380">
            <w:pPr>
              <w:spacing w:after="0" w:line="240" w:lineRule="auto"/>
              <w:contextualSpacing/>
              <w:jc w:val="center"/>
              <w:rPr>
                <w:rFonts w:cstheme="minorHAnsi"/>
                <w:b/>
                <w:bCs/>
                <w:sz w:val="20"/>
                <w:szCs w:val="20"/>
              </w:rPr>
            </w:pPr>
            <w:r w:rsidRPr="00ED5F24">
              <w:rPr>
                <w:rFonts w:cstheme="minorHAnsi"/>
                <w:b/>
                <w:bCs/>
                <w:sz w:val="20"/>
                <w:szCs w:val="20"/>
              </w:rPr>
              <w:t>Reflected</w:t>
            </w:r>
          </w:p>
        </w:tc>
        <w:tc>
          <w:tcPr>
            <w:tcW w:w="7066" w:type="dxa"/>
            <w:tcBorders>
              <w:top w:val="nil"/>
              <w:left w:val="nil"/>
              <w:bottom w:val="single" w:sz="8" w:space="0" w:color="auto"/>
              <w:right w:val="single" w:sz="8" w:space="0" w:color="auto"/>
            </w:tcBorders>
            <w:tcMar>
              <w:top w:w="0" w:type="dxa"/>
              <w:left w:w="108" w:type="dxa"/>
              <w:bottom w:w="0" w:type="dxa"/>
              <w:right w:w="108" w:type="dxa"/>
            </w:tcMar>
            <w:hideMark/>
          </w:tcPr>
          <w:p w14:paraId="2936AAEE" w14:textId="54630430" w:rsidR="00967FEE" w:rsidRPr="00ED5F24" w:rsidRDefault="00967FEE" w:rsidP="00E16996">
            <w:pPr>
              <w:spacing w:after="0" w:line="240" w:lineRule="auto"/>
              <w:contextualSpacing/>
              <w:jc w:val="both"/>
              <w:rPr>
                <w:rFonts w:cstheme="minorHAnsi"/>
                <w:sz w:val="20"/>
                <w:szCs w:val="20"/>
              </w:rPr>
            </w:pPr>
            <w:r w:rsidRPr="00ED5F24">
              <w:rPr>
                <w:rFonts w:cstheme="minorHAnsi"/>
                <w:sz w:val="20"/>
                <w:szCs w:val="20"/>
              </w:rPr>
              <w:t xml:space="preserve">პარტნიორი ორგანიზაციის </w:t>
            </w:r>
            <w:r w:rsidR="003B20ED">
              <w:rPr>
                <w:rFonts w:cstheme="minorHAnsi"/>
                <w:sz w:val="20"/>
                <w:szCs w:val="20"/>
              </w:rPr>
              <w:t>რეკომენდაცია</w:t>
            </w:r>
            <w:r w:rsidRPr="00ED5F24">
              <w:rPr>
                <w:rFonts w:cstheme="minorHAnsi"/>
                <w:sz w:val="20"/>
                <w:szCs w:val="20"/>
              </w:rPr>
              <w:t>/კომენტარი სტრატეგიაში ასახულია იმ ფორმით და შინაარსით, რო</w:t>
            </w:r>
            <w:r w:rsidR="00ED2AA1">
              <w:rPr>
                <w:rFonts w:cstheme="minorHAnsi"/>
                <w:sz w:val="20"/>
                <w:szCs w:val="20"/>
              </w:rPr>
              <w:t>მელ</w:t>
            </w:r>
            <w:r w:rsidRPr="00ED5F24">
              <w:rPr>
                <w:rFonts w:cstheme="minorHAnsi"/>
                <w:sz w:val="20"/>
                <w:szCs w:val="20"/>
              </w:rPr>
              <w:t>იც პარტნიორ</w:t>
            </w:r>
            <w:r w:rsidR="00ED2AA1">
              <w:rPr>
                <w:rFonts w:cstheme="minorHAnsi"/>
                <w:sz w:val="20"/>
                <w:szCs w:val="20"/>
              </w:rPr>
              <w:t>მა</w:t>
            </w:r>
            <w:r w:rsidRPr="00ED5F24">
              <w:rPr>
                <w:rFonts w:cstheme="minorHAnsi"/>
                <w:sz w:val="20"/>
                <w:szCs w:val="20"/>
              </w:rPr>
              <w:t xml:space="preserve"> ორგანიზაციამ წარმოადგინა.</w:t>
            </w:r>
          </w:p>
          <w:p w14:paraId="3148312C" w14:textId="77777777" w:rsidR="00967FEE" w:rsidRPr="00ED5F24" w:rsidRDefault="00967FEE" w:rsidP="00E16996">
            <w:pPr>
              <w:spacing w:after="0" w:line="240" w:lineRule="auto"/>
              <w:contextualSpacing/>
              <w:jc w:val="both"/>
              <w:rPr>
                <w:rFonts w:cstheme="minorHAnsi"/>
                <w:sz w:val="20"/>
                <w:szCs w:val="20"/>
              </w:rPr>
            </w:pPr>
            <w:r w:rsidRPr="00ED5F24">
              <w:rPr>
                <w:rFonts w:cstheme="minorHAnsi"/>
                <w:sz w:val="20"/>
                <w:szCs w:val="20"/>
              </w:rPr>
              <w:t>Remark / comment of the partner organization has been reflected in the Strategy in the same form and content it was presented.</w:t>
            </w:r>
          </w:p>
        </w:tc>
      </w:tr>
      <w:tr w:rsidR="00967FEE" w:rsidRPr="00ED5F24" w14:paraId="0225CA36" w14:textId="77777777" w:rsidTr="00576380">
        <w:trPr>
          <w:trHeight w:val="871"/>
        </w:trPr>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CF32A" w14:textId="77777777" w:rsidR="00967FEE" w:rsidRPr="00ED5F24" w:rsidRDefault="00967FEE" w:rsidP="00576380">
            <w:pPr>
              <w:spacing w:after="0" w:line="240" w:lineRule="auto"/>
              <w:contextualSpacing/>
              <w:jc w:val="center"/>
              <w:rPr>
                <w:rFonts w:cstheme="minorHAnsi"/>
                <w:b/>
                <w:bCs/>
                <w:sz w:val="20"/>
                <w:szCs w:val="20"/>
              </w:rPr>
            </w:pPr>
            <w:r w:rsidRPr="00ED5F24">
              <w:rPr>
                <w:rFonts w:cstheme="minorHAnsi"/>
                <w:b/>
                <w:bCs/>
                <w:sz w:val="20"/>
                <w:szCs w:val="20"/>
              </w:rPr>
              <w:t>ნაწილობრივ გათვალისწინებულია</w:t>
            </w:r>
          </w:p>
          <w:p w14:paraId="2EE969ED" w14:textId="77777777" w:rsidR="00967FEE" w:rsidRPr="00ED5F24" w:rsidRDefault="00967FEE" w:rsidP="00576380">
            <w:pPr>
              <w:spacing w:after="0" w:line="240" w:lineRule="auto"/>
              <w:contextualSpacing/>
              <w:jc w:val="center"/>
              <w:rPr>
                <w:rFonts w:cstheme="minorHAnsi"/>
                <w:b/>
                <w:bCs/>
                <w:sz w:val="20"/>
                <w:szCs w:val="20"/>
              </w:rPr>
            </w:pPr>
            <w:r w:rsidRPr="00ED5F24">
              <w:rPr>
                <w:rFonts w:cstheme="minorHAnsi"/>
                <w:b/>
                <w:bCs/>
                <w:sz w:val="20"/>
                <w:szCs w:val="20"/>
              </w:rPr>
              <w:t>Partially Reflected</w:t>
            </w:r>
          </w:p>
        </w:tc>
        <w:tc>
          <w:tcPr>
            <w:tcW w:w="7066" w:type="dxa"/>
            <w:tcBorders>
              <w:top w:val="nil"/>
              <w:left w:val="nil"/>
              <w:bottom w:val="single" w:sz="8" w:space="0" w:color="auto"/>
              <w:right w:val="single" w:sz="8" w:space="0" w:color="auto"/>
            </w:tcBorders>
            <w:tcMar>
              <w:top w:w="0" w:type="dxa"/>
              <w:left w:w="108" w:type="dxa"/>
              <w:bottom w:w="0" w:type="dxa"/>
              <w:right w:w="108" w:type="dxa"/>
            </w:tcMar>
            <w:hideMark/>
          </w:tcPr>
          <w:p w14:paraId="4B917081" w14:textId="6B461002" w:rsidR="00967FEE" w:rsidRPr="00ED5F24" w:rsidRDefault="00967FEE" w:rsidP="00576380">
            <w:pPr>
              <w:pStyle w:val="ListParagraph"/>
              <w:numPr>
                <w:ilvl w:val="0"/>
                <w:numId w:val="1"/>
              </w:numPr>
              <w:spacing w:after="0" w:line="240" w:lineRule="auto"/>
              <w:ind w:left="123" w:hanging="147"/>
              <w:jc w:val="both"/>
              <w:rPr>
                <w:rFonts w:cstheme="minorHAnsi"/>
                <w:sz w:val="20"/>
                <w:szCs w:val="20"/>
                <w:lang w:val="ka-GE"/>
              </w:rPr>
            </w:pPr>
            <w:r w:rsidRPr="00ED5F24">
              <w:rPr>
                <w:rFonts w:cstheme="minorHAnsi"/>
                <w:sz w:val="20"/>
                <w:szCs w:val="20"/>
                <w:lang w:val="ka-GE"/>
              </w:rPr>
              <w:t xml:space="preserve">პარტნიორი ორგანიზაციის </w:t>
            </w:r>
            <w:r w:rsidR="003B20ED">
              <w:rPr>
                <w:rFonts w:cstheme="minorHAnsi"/>
                <w:sz w:val="20"/>
                <w:szCs w:val="20"/>
                <w:lang w:val="ka-GE"/>
              </w:rPr>
              <w:t>რეკომენდაცი</w:t>
            </w:r>
            <w:r w:rsidRPr="00ED5F24">
              <w:rPr>
                <w:rFonts w:cstheme="minorHAnsi"/>
                <w:sz w:val="20"/>
                <w:szCs w:val="20"/>
                <w:lang w:val="ka-GE"/>
              </w:rPr>
              <w:t xml:space="preserve">ის/კომენტარის საფუძველზე ან მისი გავლენით გარკვეული ცვლილებები შევიდა სტრატეგიის ტექსტში, თუმცა არა </w:t>
            </w:r>
            <w:r w:rsidR="00ED2AA1" w:rsidRPr="00ED5F24">
              <w:rPr>
                <w:rFonts w:cstheme="minorHAnsi"/>
                <w:sz w:val="20"/>
                <w:szCs w:val="20"/>
                <w:lang w:val="ka-GE"/>
              </w:rPr>
              <w:t xml:space="preserve">ზუსტად </w:t>
            </w:r>
            <w:r w:rsidRPr="00ED5F24">
              <w:rPr>
                <w:rFonts w:cstheme="minorHAnsi"/>
                <w:sz w:val="20"/>
                <w:szCs w:val="20"/>
                <w:lang w:val="ka-GE"/>
              </w:rPr>
              <w:t>ი</w:t>
            </w:r>
            <w:r w:rsidR="00ED2AA1">
              <w:rPr>
                <w:rFonts w:cstheme="minorHAnsi"/>
                <w:sz w:val="20"/>
                <w:szCs w:val="20"/>
                <w:lang w:val="ka-GE"/>
              </w:rPr>
              <w:t>სეთი</w:t>
            </w:r>
            <w:r w:rsidRPr="00ED5F24">
              <w:rPr>
                <w:rFonts w:cstheme="minorHAnsi"/>
                <w:sz w:val="20"/>
                <w:szCs w:val="20"/>
                <w:lang w:val="ka-GE"/>
              </w:rPr>
              <w:t xml:space="preserve"> ფორმულირებით, როგორ</w:t>
            </w:r>
            <w:r w:rsidR="00ED2AA1">
              <w:rPr>
                <w:rFonts w:cstheme="minorHAnsi"/>
                <w:sz w:val="20"/>
                <w:szCs w:val="20"/>
                <w:lang w:val="ka-GE"/>
              </w:rPr>
              <w:t>სა</w:t>
            </w:r>
            <w:r w:rsidRPr="00ED5F24">
              <w:rPr>
                <w:rFonts w:cstheme="minorHAnsi"/>
                <w:sz w:val="20"/>
                <w:szCs w:val="20"/>
                <w:lang w:val="ka-GE"/>
              </w:rPr>
              <w:t>ც პარტნიორი ორგანიზაცია გვთავაზობდა / Amendments were made to the Strategy based on or resulted from the remark / comment made by partner organization although not in the same wording as presented</w:t>
            </w:r>
            <w:r w:rsidR="00576380" w:rsidRPr="00ED5F24">
              <w:rPr>
                <w:rFonts w:cstheme="minorHAnsi"/>
                <w:sz w:val="20"/>
                <w:szCs w:val="20"/>
                <w:lang w:val="ka-GE"/>
              </w:rPr>
              <w:t>;</w:t>
            </w:r>
            <w:r w:rsidRPr="00ED5F24">
              <w:rPr>
                <w:rFonts w:cstheme="minorHAnsi"/>
                <w:sz w:val="20"/>
                <w:szCs w:val="20"/>
                <w:lang w:val="ka-GE"/>
              </w:rPr>
              <w:t xml:space="preserve"> </w:t>
            </w:r>
          </w:p>
          <w:p w14:paraId="2595E2AD" w14:textId="5B816A07" w:rsidR="00967FEE" w:rsidRPr="00ED5F24" w:rsidRDefault="00967FEE" w:rsidP="003B20ED">
            <w:pPr>
              <w:pStyle w:val="ListParagraph"/>
              <w:numPr>
                <w:ilvl w:val="0"/>
                <w:numId w:val="1"/>
              </w:numPr>
              <w:spacing w:after="0" w:line="240" w:lineRule="auto"/>
              <w:ind w:left="123" w:hanging="147"/>
              <w:jc w:val="both"/>
              <w:rPr>
                <w:rFonts w:cstheme="minorHAnsi"/>
                <w:sz w:val="20"/>
                <w:szCs w:val="20"/>
                <w:lang w:val="ka-GE"/>
              </w:rPr>
            </w:pPr>
            <w:r w:rsidRPr="00ED5F24">
              <w:rPr>
                <w:rFonts w:cstheme="minorHAnsi"/>
                <w:sz w:val="20"/>
                <w:szCs w:val="20"/>
                <w:lang w:val="ka-GE"/>
              </w:rPr>
              <w:t xml:space="preserve">პარტნიორი ორგანიზაციის </w:t>
            </w:r>
            <w:r w:rsidR="003B20ED">
              <w:rPr>
                <w:rFonts w:cstheme="minorHAnsi"/>
                <w:sz w:val="20"/>
                <w:szCs w:val="20"/>
                <w:lang w:val="ka-GE"/>
              </w:rPr>
              <w:t>რეკომენდაცია</w:t>
            </w:r>
            <w:r w:rsidRPr="00ED5F24">
              <w:rPr>
                <w:rFonts w:cstheme="minorHAnsi"/>
                <w:sz w:val="20"/>
                <w:szCs w:val="20"/>
                <w:lang w:val="ka-GE"/>
              </w:rPr>
              <w:t>/კომენტარი სტრატეგიის ტექსტში არ ასახულა</w:t>
            </w:r>
            <w:r w:rsidR="00ED2AA1">
              <w:rPr>
                <w:rFonts w:cstheme="minorHAnsi"/>
                <w:sz w:val="20"/>
                <w:szCs w:val="20"/>
                <w:lang w:val="ka-GE"/>
              </w:rPr>
              <w:t>,</w:t>
            </w:r>
            <w:r w:rsidRPr="00ED5F24">
              <w:rPr>
                <w:rFonts w:cstheme="minorHAnsi"/>
                <w:sz w:val="20"/>
                <w:szCs w:val="20"/>
                <w:lang w:val="ka-GE"/>
              </w:rPr>
              <w:t xml:space="preserve"> თუმცა სამოქმედო გეგმაში იქნება გათვალისწინებული / Remark / comment made by partner organization has not been reflected in the Strategy but will be considered in the Action Plan</w:t>
            </w:r>
            <w:r w:rsidR="00576380" w:rsidRPr="00ED5F24">
              <w:rPr>
                <w:rFonts w:cstheme="minorHAnsi"/>
                <w:sz w:val="20"/>
                <w:szCs w:val="20"/>
                <w:lang w:val="ka-GE"/>
              </w:rPr>
              <w:t>.</w:t>
            </w:r>
            <w:r w:rsidRPr="00ED5F24">
              <w:rPr>
                <w:rFonts w:cstheme="minorHAnsi"/>
                <w:sz w:val="20"/>
                <w:szCs w:val="20"/>
                <w:lang w:val="ka-GE"/>
              </w:rPr>
              <w:t xml:space="preserve"> </w:t>
            </w:r>
          </w:p>
        </w:tc>
      </w:tr>
      <w:tr w:rsidR="00967FEE" w:rsidRPr="00ED5F24" w14:paraId="4B9DA3FC" w14:textId="77777777" w:rsidTr="00576380">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B3867" w14:textId="77777777" w:rsidR="00967FEE" w:rsidRPr="00ED5F24" w:rsidRDefault="00967FEE" w:rsidP="00576380">
            <w:pPr>
              <w:spacing w:after="0" w:line="240" w:lineRule="auto"/>
              <w:contextualSpacing/>
              <w:jc w:val="center"/>
              <w:rPr>
                <w:rFonts w:cstheme="minorHAnsi"/>
                <w:b/>
                <w:bCs/>
                <w:sz w:val="20"/>
                <w:szCs w:val="20"/>
              </w:rPr>
            </w:pPr>
            <w:r w:rsidRPr="00ED5F24">
              <w:rPr>
                <w:rFonts w:cstheme="minorHAnsi"/>
                <w:b/>
                <w:bCs/>
                <w:sz w:val="20"/>
                <w:szCs w:val="20"/>
              </w:rPr>
              <w:t>არ არის გათვალისწინებული</w:t>
            </w:r>
          </w:p>
          <w:p w14:paraId="553FCFDD" w14:textId="77777777" w:rsidR="00967FEE" w:rsidRPr="00ED5F24" w:rsidRDefault="00967FEE" w:rsidP="00576380">
            <w:pPr>
              <w:spacing w:after="0" w:line="240" w:lineRule="auto"/>
              <w:contextualSpacing/>
              <w:jc w:val="center"/>
              <w:rPr>
                <w:rFonts w:cstheme="minorHAnsi"/>
                <w:b/>
                <w:bCs/>
                <w:sz w:val="20"/>
                <w:szCs w:val="20"/>
              </w:rPr>
            </w:pPr>
            <w:r w:rsidRPr="00ED5F24">
              <w:rPr>
                <w:rFonts w:cstheme="minorHAnsi"/>
                <w:b/>
                <w:bCs/>
                <w:sz w:val="20"/>
                <w:szCs w:val="20"/>
              </w:rPr>
              <w:t>Not Reflected</w:t>
            </w:r>
          </w:p>
        </w:tc>
        <w:tc>
          <w:tcPr>
            <w:tcW w:w="7066" w:type="dxa"/>
            <w:tcBorders>
              <w:top w:val="nil"/>
              <w:left w:val="nil"/>
              <w:bottom w:val="single" w:sz="8" w:space="0" w:color="auto"/>
              <w:right w:val="single" w:sz="8" w:space="0" w:color="auto"/>
            </w:tcBorders>
            <w:tcMar>
              <w:top w:w="0" w:type="dxa"/>
              <w:left w:w="108" w:type="dxa"/>
              <w:bottom w:w="0" w:type="dxa"/>
              <w:right w:w="108" w:type="dxa"/>
            </w:tcMar>
            <w:hideMark/>
          </w:tcPr>
          <w:p w14:paraId="0C163937" w14:textId="7F0B0C63" w:rsidR="00967FEE" w:rsidRPr="00ED5F24" w:rsidRDefault="00967FEE" w:rsidP="003B20ED">
            <w:pPr>
              <w:spacing w:after="0" w:line="240" w:lineRule="auto"/>
              <w:contextualSpacing/>
              <w:jc w:val="both"/>
              <w:rPr>
                <w:rFonts w:cstheme="minorHAnsi"/>
                <w:sz w:val="20"/>
                <w:szCs w:val="20"/>
              </w:rPr>
            </w:pPr>
            <w:r w:rsidRPr="00ED5F24">
              <w:rPr>
                <w:rFonts w:cstheme="minorHAnsi"/>
                <w:sz w:val="20"/>
                <w:szCs w:val="20"/>
              </w:rPr>
              <w:t xml:space="preserve">პარტნიორი ორგანიზაციის </w:t>
            </w:r>
            <w:r w:rsidR="003B20ED">
              <w:rPr>
                <w:rFonts w:cstheme="minorHAnsi"/>
                <w:sz w:val="20"/>
                <w:szCs w:val="20"/>
              </w:rPr>
              <w:t>რეკომენდაციის</w:t>
            </w:r>
            <w:r w:rsidRPr="00ED5F24">
              <w:rPr>
                <w:rFonts w:cstheme="minorHAnsi"/>
                <w:sz w:val="20"/>
                <w:szCs w:val="20"/>
              </w:rPr>
              <w:t>/კომენტარის საფუძველზე სტრატეგიის ტექსტში (მათ შორის</w:t>
            </w:r>
            <w:r w:rsidR="00ED2AA1">
              <w:rPr>
                <w:rFonts w:cstheme="minorHAnsi"/>
                <w:sz w:val="20"/>
                <w:szCs w:val="20"/>
              </w:rPr>
              <w:t>,</w:t>
            </w:r>
            <w:r w:rsidRPr="00ED5F24">
              <w:rPr>
                <w:rFonts w:cstheme="minorHAnsi"/>
                <w:sz w:val="20"/>
                <w:szCs w:val="20"/>
              </w:rPr>
              <w:t xml:space="preserve"> არც ლოგიკურ ჩარჩოში და არც სამოქმედო გეგმაში) ცვლილება ან შესწორება არ განხორციელებულა / No amendment / change has been made to the Strategy (also neither in the log frame or Action Plan)</w:t>
            </w:r>
            <w:r w:rsidR="00576380" w:rsidRPr="00ED5F24">
              <w:rPr>
                <w:rFonts w:cstheme="minorHAnsi"/>
                <w:sz w:val="20"/>
                <w:szCs w:val="20"/>
              </w:rPr>
              <w:t>.</w:t>
            </w:r>
            <w:r w:rsidRPr="00ED5F24">
              <w:rPr>
                <w:rFonts w:cstheme="minorHAnsi"/>
                <w:sz w:val="20"/>
                <w:szCs w:val="20"/>
              </w:rPr>
              <w:t xml:space="preserve">  </w:t>
            </w:r>
          </w:p>
        </w:tc>
      </w:tr>
    </w:tbl>
    <w:p w14:paraId="79A8CC71" w14:textId="77777777" w:rsidR="00967FEE" w:rsidRPr="00ED5F24" w:rsidRDefault="00967FEE" w:rsidP="00A03C20">
      <w:pPr>
        <w:jc w:val="both"/>
        <w:rPr>
          <w:sz w:val="6"/>
          <w:szCs w:val="6"/>
        </w:rPr>
      </w:pPr>
    </w:p>
    <w:p w14:paraId="74BAD145" w14:textId="0DC7A648" w:rsidR="00DD2D05" w:rsidRPr="00ED5F24" w:rsidRDefault="00DD2D05" w:rsidP="00A03C20">
      <w:pPr>
        <w:jc w:val="both"/>
      </w:pPr>
      <w:r w:rsidRPr="00ED5F24">
        <w:t>აღსანიშნავია, რომ პარტნიორი ორგანიზაციების</w:t>
      </w:r>
      <w:r w:rsidR="004957DD" w:rsidRPr="00ED5F24">
        <w:t xml:space="preserve"> </w:t>
      </w:r>
      <w:r w:rsidRPr="00ED5F24">
        <w:t xml:space="preserve">იმ რეკომენდაციების </w:t>
      </w:r>
      <w:r w:rsidRPr="00ED5F24">
        <w:rPr>
          <w:b/>
        </w:rPr>
        <w:t xml:space="preserve">დიდი </w:t>
      </w:r>
      <w:r w:rsidR="00ED2AA1">
        <w:rPr>
          <w:b/>
        </w:rPr>
        <w:t>ნა</w:t>
      </w:r>
      <w:r w:rsidRPr="00ED5F24">
        <w:rPr>
          <w:b/>
        </w:rPr>
        <w:t>წილი, რომელიც არ იქნა გათვალიწინებული</w:t>
      </w:r>
      <w:r w:rsidR="00F4138C" w:rsidRPr="00ED5F24">
        <w:rPr>
          <w:b/>
        </w:rPr>
        <w:t>,</w:t>
      </w:r>
      <w:r w:rsidRPr="00ED5F24">
        <w:rPr>
          <w:b/>
        </w:rPr>
        <w:t xml:space="preserve"> უმეტესად  ტექნიკური ხასიათისა</w:t>
      </w:r>
      <w:r w:rsidR="004957DD" w:rsidRPr="00ED5F24">
        <w:rPr>
          <w:rStyle w:val="FootnoteReference"/>
        </w:rPr>
        <w:footnoteReference w:id="6"/>
      </w:r>
      <w:r w:rsidRPr="00ED5F24">
        <w:rPr>
          <w:b/>
        </w:rPr>
        <w:t xml:space="preserve"> იყო</w:t>
      </w:r>
      <w:r w:rsidRPr="00ED5F24">
        <w:t xml:space="preserve"> (ხშირ </w:t>
      </w:r>
      <w:r w:rsidRPr="00ED5F24">
        <w:lastRenderedPageBreak/>
        <w:t xml:space="preserve">შემთხვევაში თარგმანის და/ან ტერმინების ორაზროვან ინტერპრეტაციასთან დაკავშირებული) </w:t>
      </w:r>
      <w:r w:rsidR="00ED2AA1">
        <w:t>და</w:t>
      </w:r>
      <w:r w:rsidR="00ED2AA1" w:rsidRPr="00ED5F24">
        <w:t xml:space="preserve"> </w:t>
      </w:r>
      <w:r w:rsidRPr="00ED5F24">
        <w:t xml:space="preserve">სხვადასხვა ფორმით უკვე იყო ასახული სტრატეგიის ორიგინალ, ქართულენოვან ვერსიაში და მის ლოგიკურ ჩარჩოში. თითოეულ </w:t>
      </w:r>
      <w:r w:rsidR="003B20ED">
        <w:t>რეკომენდაციაზ</w:t>
      </w:r>
      <w:r w:rsidR="00ED2AA1">
        <w:t>ე</w:t>
      </w:r>
      <w:r w:rsidRPr="00ED5F24">
        <w:t>/კომენტარ</w:t>
      </w:r>
      <w:r w:rsidR="00ED2AA1">
        <w:t>ზე</w:t>
      </w:r>
      <w:r w:rsidRPr="00ED5F24">
        <w:t xml:space="preserve"> (მათ შორის გათვალისწინებულებზეც) პარტნიორ ორგანიზაციებთან </w:t>
      </w:r>
      <w:r w:rsidR="00916FE0" w:rsidRPr="00ED5F24">
        <w:t>დამატებით</w:t>
      </w:r>
      <w:r w:rsidR="00916FE0">
        <w:t xml:space="preserve"> </w:t>
      </w:r>
      <w:r w:rsidRPr="00ED5F24">
        <w:t>შედგა ინდივიდუალური უკუკავშირი და ზემოთ წარმოდგენილი</w:t>
      </w:r>
      <w:r w:rsidR="000A2F9B" w:rsidRPr="00ED5F24">
        <w:t xml:space="preserve"> ცხრილის</w:t>
      </w:r>
      <w:r w:rsidRPr="00ED5F24">
        <w:t xml:space="preserve"> </w:t>
      </w:r>
      <w:r w:rsidR="000A2F9B" w:rsidRPr="00ED5F24">
        <w:t>(</w:t>
      </w:r>
      <w:r w:rsidRPr="00ED5F24">
        <w:t xml:space="preserve">სურათი </w:t>
      </w:r>
      <w:r w:rsidR="000A2F9B" w:rsidRPr="00ED5F24">
        <w:t>#1)</w:t>
      </w:r>
      <w:r w:rsidRPr="00ED5F24">
        <w:t xml:space="preserve"> მეშვეობით დეტალური და არგუმენტირებული საპასუხო პოზიცია მიეწოდათ</w:t>
      </w:r>
      <w:r w:rsidR="000A2F9B" w:rsidRPr="00ED5F24">
        <w:t xml:space="preserve"> ელექტრონული ფოსტი</w:t>
      </w:r>
      <w:r w:rsidR="00916FE0">
        <w:t>ს საშუალებით</w:t>
      </w:r>
      <w:r w:rsidR="003B20ED">
        <w:t>,</w:t>
      </w:r>
      <w:r w:rsidRPr="00ED5F24">
        <w:t xml:space="preserve"> როგორც ინგლისურ</w:t>
      </w:r>
      <w:r w:rsidR="00ED2AA1">
        <w:t>,</w:t>
      </w:r>
      <w:r w:rsidRPr="00ED5F24">
        <w:t xml:space="preserve"> </w:t>
      </w:r>
      <w:r w:rsidR="00ED2AA1">
        <w:t>ისე</w:t>
      </w:r>
      <w:r w:rsidR="00ED2AA1" w:rsidRPr="00ED5F24">
        <w:t xml:space="preserve"> </w:t>
      </w:r>
      <w:r w:rsidRPr="00ED5F24">
        <w:t>ქართულ ენ</w:t>
      </w:r>
      <w:r w:rsidR="00ED2AA1">
        <w:t>ა</w:t>
      </w:r>
      <w:r w:rsidRPr="00ED5F24">
        <w:t>ზე.</w:t>
      </w:r>
    </w:p>
    <w:p w14:paraId="5D8F4E64" w14:textId="721148B7" w:rsidR="00DD2D05" w:rsidRPr="00ED5F24" w:rsidRDefault="000A2F9B" w:rsidP="00A03C20">
      <w:pPr>
        <w:jc w:val="both"/>
      </w:pPr>
      <w:r w:rsidRPr="00ED5F24">
        <w:t>#2</w:t>
      </w:r>
      <w:r w:rsidR="00C900DF">
        <w:t xml:space="preserve"> </w:t>
      </w:r>
      <w:r w:rsidR="00C900DF" w:rsidRPr="00ED5F24">
        <w:t>სურათ</w:t>
      </w:r>
      <w:r w:rsidR="00C900DF">
        <w:t>ზე</w:t>
      </w:r>
      <w:r w:rsidRPr="00ED5F24">
        <w:t xml:space="preserve"> წარმოდგენილი კრიტერიუმების საფუძველზე მინიჭებული სტატუსების შესაბამისად, პარტნიორ ორგანიზაციებთან მიგრაციის სტრატეგიის საბოლოო პროექტზე გამართული კონსულტაციების შედეგები რაოდენობრივად და გრაფიკულად შემდეგნაირად გამოიყურება:</w:t>
      </w:r>
    </w:p>
    <w:p w14:paraId="45D06524" w14:textId="77777777" w:rsidR="00DD2D05" w:rsidRPr="00ED5F24" w:rsidRDefault="00DD2D05" w:rsidP="00FD6ECC">
      <w:pPr>
        <w:pStyle w:val="NoSpacing"/>
      </w:pPr>
    </w:p>
    <w:p w14:paraId="7066840A" w14:textId="77777777" w:rsidR="00967FEE" w:rsidRPr="00ED5F24" w:rsidRDefault="00353A78" w:rsidP="00353A78">
      <w:pPr>
        <w:jc w:val="center"/>
      </w:pPr>
      <w:r w:rsidRPr="00ED5F24">
        <w:rPr>
          <w:noProof/>
          <w:lang w:eastAsia="ka-GE"/>
        </w:rPr>
        <w:drawing>
          <wp:inline distT="0" distB="0" distL="0" distR="0" wp14:anchorId="7EBA8569" wp14:editId="6F6D7687">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14:paraId="27E45B69" w14:textId="77777777" w:rsidR="00967FEE" w:rsidRPr="00ED5F24" w:rsidRDefault="00967FEE" w:rsidP="00A03C20">
      <w:pPr>
        <w:jc w:val="both"/>
      </w:pPr>
    </w:p>
    <w:p w14:paraId="7E9394A5" w14:textId="77777777" w:rsidR="00E2455D" w:rsidRPr="00ED5F24" w:rsidRDefault="00E2455D" w:rsidP="00A03C20">
      <w:pPr>
        <w:jc w:val="both"/>
      </w:pPr>
    </w:p>
    <w:sectPr w:rsidR="00E2455D" w:rsidRPr="00ED5F24" w:rsidSect="00F0746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2BF0A" w14:textId="77777777" w:rsidR="009D66A7" w:rsidRDefault="009D66A7" w:rsidP="00A03C20">
      <w:pPr>
        <w:spacing w:after="0" w:line="240" w:lineRule="auto"/>
      </w:pPr>
      <w:r>
        <w:separator/>
      </w:r>
    </w:p>
  </w:endnote>
  <w:endnote w:type="continuationSeparator" w:id="0">
    <w:p w14:paraId="3F29BB16" w14:textId="77777777" w:rsidR="009D66A7" w:rsidRDefault="009D66A7" w:rsidP="00A0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C0090" w14:textId="77777777" w:rsidR="009D66A7" w:rsidRDefault="009D66A7" w:rsidP="00A03C20">
      <w:pPr>
        <w:spacing w:after="0" w:line="240" w:lineRule="auto"/>
      </w:pPr>
      <w:r>
        <w:separator/>
      </w:r>
    </w:p>
  </w:footnote>
  <w:footnote w:type="continuationSeparator" w:id="0">
    <w:p w14:paraId="40C566F0" w14:textId="77777777" w:rsidR="009D66A7" w:rsidRDefault="009D66A7" w:rsidP="00A03C20">
      <w:pPr>
        <w:spacing w:after="0" w:line="240" w:lineRule="auto"/>
      </w:pPr>
      <w:r>
        <w:continuationSeparator/>
      </w:r>
    </w:p>
  </w:footnote>
  <w:footnote w:id="1">
    <w:p w14:paraId="0C15E8D6" w14:textId="0DFDC3CD" w:rsidR="00427432" w:rsidRPr="001F094B" w:rsidRDefault="00E4788C" w:rsidP="001F094B">
      <w:pPr>
        <w:pStyle w:val="FootnoteText"/>
        <w:ind w:left="90" w:hanging="90"/>
        <w:jc w:val="both"/>
        <w:rPr>
          <w:sz w:val="16"/>
          <w:szCs w:val="16"/>
        </w:rPr>
      </w:pPr>
      <w:r w:rsidRPr="001F094B">
        <w:rPr>
          <w:rStyle w:val="FootnoteReference"/>
          <w:sz w:val="16"/>
          <w:szCs w:val="16"/>
        </w:rPr>
        <w:footnoteRef/>
      </w:r>
      <w:r w:rsidRPr="001F094B">
        <w:rPr>
          <w:sz w:val="16"/>
          <w:szCs w:val="16"/>
        </w:rPr>
        <w:t xml:space="preserve"> </w:t>
      </w:r>
      <w:r w:rsidR="004A0BA0">
        <w:rPr>
          <w:sz w:val="16"/>
          <w:szCs w:val="16"/>
        </w:rPr>
        <w:t xml:space="preserve">კომისიის </w:t>
      </w:r>
      <w:r w:rsidR="004A0BA0" w:rsidRPr="00D443D2">
        <w:rPr>
          <w:sz w:val="16"/>
          <w:szCs w:val="16"/>
        </w:rPr>
        <w:t>მიგრაციის ლაბორატორი</w:t>
      </w:r>
      <w:r w:rsidR="004A0BA0">
        <w:rPr>
          <w:sz w:val="16"/>
          <w:szCs w:val="16"/>
        </w:rPr>
        <w:t>ის</w:t>
      </w:r>
      <w:r w:rsidR="00660A0E">
        <w:rPr>
          <w:sz w:val="16"/>
          <w:szCs w:val="16"/>
        </w:rPr>
        <w:t xml:space="preserve"> (ლაბორატორია)</w:t>
      </w:r>
      <w:r w:rsidR="004A0BA0">
        <w:rPr>
          <w:sz w:val="16"/>
          <w:szCs w:val="16"/>
        </w:rPr>
        <w:t xml:space="preserve"> პორტფელი მოიცავს მუშაობას </w:t>
      </w:r>
      <w:r w:rsidR="004A0BA0" w:rsidRPr="00D443D2">
        <w:rPr>
          <w:sz w:val="16"/>
          <w:szCs w:val="16"/>
        </w:rPr>
        <w:t>სტრატეგია</w:t>
      </w:r>
      <w:r w:rsidR="004A0BA0">
        <w:rPr>
          <w:sz w:val="16"/>
          <w:szCs w:val="16"/>
        </w:rPr>
        <w:t>სა და მის</w:t>
      </w:r>
      <w:r w:rsidR="004A0BA0" w:rsidRPr="00D443D2">
        <w:rPr>
          <w:sz w:val="16"/>
          <w:szCs w:val="16"/>
        </w:rPr>
        <w:t xml:space="preserve"> სამოქმედო გეგმებზე,</w:t>
      </w:r>
      <w:r w:rsidR="004A0BA0">
        <w:rPr>
          <w:sz w:val="16"/>
          <w:szCs w:val="16"/>
        </w:rPr>
        <w:t xml:space="preserve"> ასევე </w:t>
      </w:r>
      <w:r w:rsidR="004A0BA0" w:rsidRPr="00D443D2">
        <w:rPr>
          <w:sz w:val="16"/>
          <w:szCs w:val="16"/>
        </w:rPr>
        <w:t xml:space="preserve">მოკლე და საშუალო ფორმატის მიგრაციის პროფილებზე; </w:t>
      </w:r>
      <w:r w:rsidR="00622962">
        <w:rPr>
          <w:sz w:val="16"/>
          <w:szCs w:val="16"/>
        </w:rPr>
        <w:t>„</w:t>
      </w:r>
      <w:r w:rsidR="004A0BA0" w:rsidRPr="00D443D2">
        <w:rPr>
          <w:sz w:val="16"/>
          <w:szCs w:val="16"/>
        </w:rPr>
        <w:t>მიგრაცია და განვითარების</w:t>
      </w:r>
      <w:r w:rsidR="00622962">
        <w:rPr>
          <w:sz w:val="16"/>
          <w:szCs w:val="16"/>
        </w:rPr>
        <w:t>“</w:t>
      </w:r>
      <w:r w:rsidR="004A0BA0" w:rsidRPr="00D443D2">
        <w:rPr>
          <w:sz w:val="16"/>
          <w:szCs w:val="16"/>
        </w:rPr>
        <w:t xml:space="preserve"> მიმართულებით საქმიანობის კოორდინაცია</w:t>
      </w:r>
      <w:r w:rsidR="004A0BA0">
        <w:rPr>
          <w:sz w:val="16"/>
          <w:szCs w:val="16"/>
        </w:rPr>
        <w:t>ს</w:t>
      </w:r>
      <w:r w:rsidR="004A0BA0" w:rsidRPr="00D443D2">
        <w:rPr>
          <w:sz w:val="16"/>
          <w:szCs w:val="16"/>
        </w:rPr>
        <w:t xml:space="preserve"> და სხვადასხვა ანალიტიკური პროდუქტების მომზადება</w:t>
      </w:r>
      <w:r w:rsidR="004A0BA0">
        <w:rPr>
          <w:sz w:val="16"/>
          <w:szCs w:val="16"/>
        </w:rPr>
        <w:t>ს</w:t>
      </w:r>
      <w:r w:rsidR="004A0BA0" w:rsidRPr="00D443D2">
        <w:rPr>
          <w:sz w:val="16"/>
          <w:szCs w:val="16"/>
        </w:rPr>
        <w:t>.</w:t>
      </w:r>
      <w:r w:rsidR="004A0BA0">
        <w:rPr>
          <w:sz w:val="16"/>
          <w:szCs w:val="16"/>
        </w:rPr>
        <w:t xml:space="preserve"> ლაბორატორია შედგება მსსკ-ის წევრი უწყებების, ასევე მოწვეული პარტნიორი სახელმწიფო </w:t>
      </w:r>
      <w:r w:rsidR="00622962">
        <w:rPr>
          <w:sz w:val="16"/>
          <w:szCs w:val="16"/>
        </w:rPr>
        <w:t xml:space="preserve">უწყებების </w:t>
      </w:r>
      <w:r w:rsidR="004A0BA0">
        <w:rPr>
          <w:sz w:val="16"/>
          <w:szCs w:val="16"/>
        </w:rPr>
        <w:t xml:space="preserve">და კომისიაში </w:t>
      </w:r>
      <w:r w:rsidR="004A0BA0" w:rsidRPr="00CD0C08">
        <w:rPr>
          <w:sz w:val="16"/>
          <w:szCs w:val="16"/>
        </w:rPr>
        <w:t xml:space="preserve">საკონსულტაციო სტატუსის </w:t>
      </w:r>
      <w:r w:rsidR="004A0BA0">
        <w:rPr>
          <w:sz w:val="16"/>
          <w:szCs w:val="16"/>
        </w:rPr>
        <w:t xml:space="preserve">მქონე საერთაშორისო და არასამთავრობო ორგანიზაციებისგან, რომელთაც საჭიროების შემთხვევაში ლაბორატორია მიმართავს ექსპერტიზისათვის. </w:t>
      </w:r>
    </w:p>
  </w:footnote>
  <w:footnote w:id="2">
    <w:p w14:paraId="527D540E" w14:textId="68ED8E89" w:rsidR="004A0BA0" w:rsidRDefault="004A0BA0" w:rsidP="004A0BA0">
      <w:pPr>
        <w:pStyle w:val="FootnoteText"/>
        <w:ind w:left="90" w:hanging="90"/>
        <w:jc w:val="both"/>
        <w:rPr>
          <w:noProof/>
          <w:sz w:val="16"/>
          <w:szCs w:val="16"/>
        </w:rPr>
      </w:pPr>
      <w:r>
        <w:rPr>
          <w:rStyle w:val="FootnoteReference"/>
        </w:rPr>
        <w:footnoteRef/>
      </w:r>
      <w:r>
        <w:rPr>
          <w:sz w:val="16"/>
          <w:szCs w:val="16"/>
        </w:rPr>
        <w:t xml:space="preserve">ლაბორატორიის ფარგლებში შეკრებილი </w:t>
      </w:r>
      <w:r w:rsidRPr="00CD0C08">
        <w:rPr>
          <w:sz w:val="16"/>
          <w:szCs w:val="16"/>
        </w:rPr>
        <w:t xml:space="preserve">მსსკ-ის სტრატეგიაზე მომუშავე </w:t>
      </w:r>
      <w:r w:rsidRPr="00CD0C08">
        <w:rPr>
          <w:noProof/>
          <w:sz w:val="16"/>
          <w:szCs w:val="16"/>
        </w:rPr>
        <w:t xml:space="preserve">ჯგუფი, სადაც კომისიის </w:t>
      </w:r>
      <w:r w:rsidRPr="00565F29">
        <w:rPr>
          <w:noProof/>
          <w:sz w:val="16"/>
          <w:szCs w:val="16"/>
        </w:rPr>
        <w:t xml:space="preserve">წევრ სახემლწიფო უწყებებთან ერთად წარმოდგენილი </w:t>
      </w:r>
      <w:r>
        <w:rPr>
          <w:noProof/>
          <w:sz w:val="16"/>
          <w:szCs w:val="16"/>
        </w:rPr>
        <w:t xml:space="preserve">იყვნენ </w:t>
      </w:r>
      <w:r w:rsidRPr="00CD0C08">
        <w:rPr>
          <w:sz w:val="16"/>
          <w:szCs w:val="16"/>
        </w:rPr>
        <w:t xml:space="preserve">კომისიის ფარგლებში საკონსულტაციო სტატუსის </w:t>
      </w:r>
      <w:r w:rsidRPr="00CD0C08">
        <w:rPr>
          <w:noProof/>
          <w:sz w:val="16"/>
          <w:szCs w:val="16"/>
        </w:rPr>
        <w:t xml:space="preserve">და შესაბამისი საექსპერტო ცოდნის მქონე </w:t>
      </w:r>
      <w:r w:rsidRPr="00CD0C08">
        <w:rPr>
          <w:sz w:val="16"/>
          <w:szCs w:val="16"/>
        </w:rPr>
        <w:t>საერთაშორისო და არასამთავრობო ორგანიზაციებ</w:t>
      </w:r>
      <w:r w:rsidRPr="00565F29">
        <w:rPr>
          <w:sz w:val="16"/>
          <w:szCs w:val="16"/>
        </w:rPr>
        <w:t xml:space="preserve">ი. </w:t>
      </w:r>
      <w:r w:rsidRPr="00565F29">
        <w:rPr>
          <w:noProof/>
          <w:sz w:val="16"/>
          <w:szCs w:val="16"/>
        </w:rPr>
        <w:t xml:space="preserve">  </w:t>
      </w:r>
      <w:r w:rsidR="00660A0E">
        <w:rPr>
          <w:noProof/>
          <w:sz w:val="16"/>
          <w:szCs w:val="16"/>
        </w:rPr>
        <w:t xml:space="preserve"> </w:t>
      </w:r>
    </w:p>
    <w:p w14:paraId="196430FF" w14:textId="464B4F55" w:rsidR="004A0BA0" w:rsidRDefault="004A0BA0">
      <w:pPr>
        <w:pStyle w:val="FootnoteText"/>
      </w:pPr>
    </w:p>
  </w:footnote>
  <w:footnote w:id="3">
    <w:p w14:paraId="4C6DCB32" w14:textId="03F0E8E3" w:rsidR="0039780B" w:rsidRPr="00A92304" w:rsidRDefault="0039780B" w:rsidP="0039780B">
      <w:pPr>
        <w:pStyle w:val="FootnoteText"/>
        <w:ind w:left="90" w:hanging="90"/>
        <w:jc w:val="both"/>
        <w:rPr>
          <w:sz w:val="16"/>
          <w:szCs w:val="16"/>
        </w:rPr>
      </w:pPr>
      <w:r w:rsidRPr="00A92304">
        <w:rPr>
          <w:rStyle w:val="FootnoteReference"/>
          <w:sz w:val="16"/>
          <w:szCs w:val="16"/>
        </w:rPr>
        <w:footnoteRef/>
      </w:r>
      <w:r w:rsidRPr="00A92304">
        <w:rPr>
          <w:sz w:val="16"/>
          <w:szCs w:val="16"/>
        </w:rPr>
        <w:t xml:space="preserve"> მიგრაციის საერთაშორისო ორგანიზაცია (IOM), მიგრაციის პოლიტიკის განვითარების საერთაშორისო ცენტრი (ICMPD), გაერო-ს ლტოლვილთა უმაღლესი კომისარიატი</w:t>
      </w:r>
      <w:r w:rsidRPr="00CA4AF1">
        <w:rPr>
          <w:sz w:val="16"/>
          <w:szCs w:val="16"/>
        </w:rPr>
        <w:t xml:space="preserve"> (</w:t>
      </w:r>
      <w:r w:rsidRPr="00A92304">
        <w:rPr>
          <w:sz w:val="16"/>
          <w:szCs w:val="16"/>
        </w:rPr>
        <w:t>UNHCR</w:t>
      </w:r>
      <w:r w:rsidRPr="00CA4AF1">
        <w:rPr>
          <w:sz w:val="16"/>
          <w:szCs w:val="16"/>
        </w:rPr>
        <w:t>)</w:t>
      </w:r>
      <w:r w:rsidRPr="00A92304">
        <w:rPr>
          <w:sz w:val="16"/>
          <w:szCs w:val="16"/>
        </w:rPr>
        <w:t>, გერმანიის საერთაშორისო თანამშრომლობის საზოგადოება (</w:t>
      </w:r>
      <w:r w:rsidRPr="00CA4AF1">
        <w:rPr>
          <w:sz w:val="16"/>
          <w:szCs w:val="16"/>
        </w:rPr>
        <w:t>GIZ</w:t>
      </w:r>
      <w:r w:rsidRPr="00A92304">
        <w:rPr>
          <w:sz w:val="16"/>
          <w:szCs w:val="16"/>
        </w:rPr>
        <w:t>).</w:t>
      </w:r>
      <w:r>
        <w:rPr>
          <w:sz w:val="16"/>
          <w:szCs w:val="16"/>
        </w:rPr>
        <w:t xml:space="preserve"> საქართველოში ევროკავშირის დელეგაციას </w:t>
      </w:r>
      <w:r w:rsidRPr="00CA4AF1">
        <w:rPr>
          <w:sz w:val="16"/>
          <w:szCs w:val="16"/>
        </w:rPr>
        <w:t xml:space="preserve">(EUD) </w:t>
      </w:r>
      <w:r>
        <w:rPr>
          <w:sz w:val="16"/>
          <w:szCs w:val="16"/>
        </w:rPr>
        <w:t xml:space="preserve">და მათი მეშვეობით ევროკომისიას დოკუმენტი გაეგზავნა მე-3 ეტაპზე, რადგან </w:t>
      </w:r>
      <w:r w:rsidR="00E4788C">
        <w:rPr>
          <w:sz w:val="16"/>
          <w:szCs w:val="16"/>
        </w:rPr>
        <w:t xml:space="preserve">მათი მხრიდან </w:t>
      </w:r>
      <w:r>
        <w:rPr>
          <w:sz w:val="16"/>
          <w:szCs w:val="16"/>
        </w:rPr>
        <w:t xml:space="preserve">სიტუაციის წინასწარი ანალიზის საფუძვლად გამოყენებულ იქნა ე.წ. შეჩერების მექანიზმის ევროკომისიის ყოველწლიური ანგარიშები და ასევე ასოცირების შეთანხმების </w:t>
      </w:r>
      <w:r w:rsidR="005B1F88">
        <w:rPr>
          <w:sz w:val="16"/>
          <w:szCs w:val="16"/>
        </w:rPr>
        <w:t xml:space="preserve">განხორციელების </w:t>
      </w:r>
      <w:r>
        <w:rPr>
          <w:sz w:val="16"/>
          <w:szCs w:val="16"/>
        </w:rPr>
        <w:t xml:space="preserve">დღის წესრიგის </w:t>
      </w:r>
      <w:r w:rsidR="005B1F88">
        <w:rPr>
          <w:sz w:val="16"/>
          <w:szCs w:val="16"/>
        </w:rPr>
        <w:t xml:space="preserve">ეროვნული </w:t>
      </w:r>
      <w:r>
        <w:rPr>
          <w:sz w:val="16"/>
          <w:szCs w:val="16"/>
        </w:rPr>
        <w:t>ანგარიშები თავისი რეკომენდაციებით.</w:t>
      </w:r>
      <w:r w:rsidR="00142983">
        <w:rPr>
          <w:sz w:val="16"/>
          <w:szCs w:val="16"/>
        </w:rPr>
        <w:t xml:space="preserve"> სათანადოდ ევროკავშირთან კონსულტაციები </w:t>
      </w:r>
      <w:r w:rsidR="008B2D52">
        <w:rPr>
          <w:sz w:val="16"/>
          <w:szCs w:val="16"/>
        </w:rPr>
        <w:t xml:space="preserve">მე-3 ფაზიდან მოყოლებული </w:t>
      </w:r>
      <w:r w:rsidR="00142983">
        <w:rPr>
          <w:sz w:val="16"/>
          <w:szCs w:val="16"/>
        </w:rPr>
        <w:t xml:space="preserve">გაიმართა ორ რაუნდად და </w:t>
      </w:r>
      <w:r w:rsidR="008B2D52">
        <w:rPr>
          <w:sz w:val="16"/>
          <w:szCs w:val="16"/>
        </w:rPr>
        <w:t>დასრულდა დეკემბრის თვეში.</w:t>
      </w:r>
    </w:p>
  </w:footnote>
  <w:footnote w:id="4">
    <w:p w14:paraId="3A56BD94" w14:textId="1BA853BD" w:rsidR="002E3F7B" w:rsidRPr="00B716D0" w:rsidRDefault="002E3F7B" w:rsidP="002E3F7B">
      <w:pPr>
        <w:pStyle w:val="FootnoteText"/>
        <w:ind w:left="90" w:hanging="90"/>
        <w:jc w:val="both"/>
        <w:rPr>
          <w:sz w:val="16"/>
          <w:szCs w:val="16"/>
        </w:rPr>
      </w:pPr>
      <w:r w:rsidRPr="00B716D0">
        <w:rPr>
          <w:rStyle w:val="FootnoteReference"/>
          <w:sz w:val="16"/>
          <w:szCs w:val="16"/>
        </w:rPr>
        <w:footnoteRef/>
      </w:r>
      <w:r w:rsidRPr="00B716D0">
        <w:rPr>
          <w:sz w:val="16"/>
          <w:szCs w:val="16"/>
        </w:rPr>
        <w:t xml:space="preserve"> </w:t>
      </w:r>
      <w:r w:rsidRPr="00F36462">
        <w:rPr>
          <w:sz w:val="16"/>
          <w:szCs w:val="16"/>
        </w:rPr>
        <w:t>ინოვაციების და რეფორმების ცენტრი; მიგრაციის ცენტრი</w:t>
      </w:r>
      <w:r w:rsidRPr="00F36462">
        <w:rPr>
          <w:sz w:val="16"/>
          <w:szCs w:val="16"/>
          <w:lang w:val="en-US"/>
        </w:rPr>
        <w:t>;</w:t>
      </w:r>
      <w:r w:rsidRPr="00F36462">
        <w:rPr>
          <w:sz w:val="16"/>
          <w:szCs w:val="16"/>
        </w:rPr>
        <w:t xml:space="preserve"> საქართველოს ახალგაზრდა იურისტთა ასოციაცია</w:t>
      </w:r>
      <w:r w:rsidRPr="00F36462">
        <w:rPr>
          <w:sz w:val="16"/>
          <w:szCs w:val="16"/>
          <w:lang w:val="en-US"/>
        </w:rPr>
        <w:t>;</w:t>
      </w:r>
      <w:r w:rsidRPr="00F36462">
        <w:rPr>
          <w:sz w:val="16"/>
          <w:szCs w:val="16"/>
        </w:rPr>
        <w:t xml:space="preserve"> სამოქალაქო განვითარების სააგენტო</w:t>
      </w:r>
      <w:r w:rsidRPr="00F36462">
        <w:rPr>
          <w:sz w:val="16"/>
          <w:szCs w:val="16"/>
          <w:lang w:val="en-US"/>
        </w:rPr>
        <w:t>.</w:t>
      </w:r>
      <w:r>
        <w:rPr>
          <w:sz w:val="16"/>
          <w:szCs w:val="16"/>
        </w:rPr>
        <w:t xml:space="preserve"> ამ ორგანიზაციებთან დოკუმენტის მე-3 ეტაპზე გაგზავნა განაპირობა იმ ძირითადმა ფაქტმა, რომ მათი მიგრაციის სფეროში საქმიანობა უმთავრესად ხორციელდება იმ საერთაშორისო ორგანიზაციების დახმარებით და მათ მიერ/ მათთან ერთად განსაზღვრული პრიორიტეტული თემატური მიმართულებების მიხედვით, რომელთაც </w:t>
      </w:r>
      <w:r w:rsidRPr="00576380">
        <w:rPr>
          <w:sz w:val="16"/>
          <w:szCs w:val="16"/>
        </w:rPr>
        <w:t>მიგრაციის ლაბორატორიამ</w:t>
      </w:r>
      <w:r>
        <w:rPr>
          <w:sz w:val="16"/>
          <w:szCs w:val="16"/>
        </w:rPr>
        <w:t xml:space="preserve"> საწყის ეტაპზევე მიმართა.</w:t>
      </w:r>
    </w:p>
  </w:footnote>
  <w:footnote w:id="5">
    <w:p w14:paraId="2CB39F73" w14:textId="46B7559C" w:rsidR="002E3F7B" w:rsidRPr="00F114D2" w:rsidRDefault="002E3F7B" w:rsidP="002E3F7B">
      <w:pPr>
        <w:pStyle w:val="FootnoteText"/>
        <w:ind w:left="90" w:hanging="90"/>
        <w:jc w:val="both"/>
        <w:rPr>
          <w:sz w:val="18"/>
          <w:szCs w:val="18"/>
        </w:rPr>
      </w:pPr>
      <w:r w:rsidRPr="00F36462">
        <w:rPr>
          <w:rStyle w:val="FootnoteReference"/>
          <w:sz w:val="16"/>
          <w:szCs w:val="16"/>
        </w:rPr>
        <w:footnoteRef/>
      </w:r>
      <w:r w:rsidRPr="00F36462">
        <w:rPr>
          <w:sz w:val="16"/>
          <w:szCs w:val="16"/>
        </w:rPr>
        <w:t xml:space="preserve"> თბილისის სახელმწიფო უნივერსიტეტ</w:t>
      </w:r>
      <w:r>
        <w:rPr>
          <w:sz w:val="16"/>
          <w:szCs w:val="16"/>
        </w:rPr>
        <w:t>სა (თსუ)</w:t>
      </w:r>
      <w:r w:rsidRPr="00F36462">
        <w:rPr>
          <w:sz w:val="16"/>
          <w:szCs w:val="16"/>
        </w:rPr>
        <w:t xml:space="preserve"> </w:t>
      </w:r>
      <w:r>
        <w:rPr>
          <w:sz w:val="16"/>
          <w:szCs w:val="16"/>
        </w:rPr>
        <w:t>და მსსკ-</w:t>
      </w:r>
      <w:r w:rsidR="004F66F5">
        <w:rPr>
          <w:sz w:val="16"/>
          <w:szCs w:val="16"/>
        </w:rPr>
        <w:t>ი</w:t>
      </w:r>
      <w:r>
        <w:rPr>
          <w:sz w:val="16"/>
          <w:szCs w:val="16"/>
        </w:rPr>
        <w:t xml:space="preserve">ს შორის დადებული ურთიერთთანამშრომლობის მემორანდუმის ფარგლებში გაგზავნილი </w:t>
      </w:r>
      <w:r w:rsidRPr="00F36462">
        <w:rPr>
          <w:sz w:val="16"/>
          <w:szCs w:val="16"/>
        </w:rPr>
        <w:t>სტრატეგიის პროექტის განხილვაში მონაწილეობდა თსუ-სა და საქართველოს საზოგადოებრივ საქმეთა ინსტიტუტის (GIPA) მიგრაციის მართვის ერთობლივი სამაგისტრო პროგრამის აკადემიური პერსონალი.</w:t>
      </w:r>
      <w:r w:rsidRPr="00F114D2">
        <w:rPr>
          <w:sz w:val="18"/>
          <w:szCs w:val="18"/>
        </w:rPr>
        <w:t xml:space="preserve"> </w:t>
      </w:r>
    </w:p>
  </w:footnote>
  <w:footnote w:id="6">
    <w:p w14:paraId="57C2B845" w14:textId="2D80FAE0" w:rsidR="004957DD" w:rsidRPr="00CD0C08" w:rsidRDefault="004957DD" w:rsidP="004957DD">
      <w:pPr>
        <w:pStyle w:val="FootnoteText"/>
        <w:rPr>
          <w:sz w:val="16"/>
          <w:szCs w:val="16"/>
        </w:rPr>
      </w:pPr>
      <w:r w:rsidRPr="00CD0C08">
        <w:rPr>
          <w:rStyle w:val="FootnoteReference"/>
          <w:sz w:val="16"/>
          <w:szCs w:val="16"/>
        </w:rPr>
        <w:footnoteRef/>
      </w:r>
      <w:r w:rsidRPr="00CD0C08">
        <w:rPr>
          <w:sz w:val="16"/>
          <w:szCs w:val="16"/>
        </w:rPr>
        <w:t xml:space="preserve"> სიტუაციის (პრობლემების) ანალიზის</w:t>
      </w:r>
      <w:r>
        <w:rPr>
          <w:sz w:val="16"/>
          <w:szCs w:val="16"/>
        </w:rPr>
        <w:t>გან განსხვავებით</w:t>
      </w:r>
      <w:r w:rsidRPr="00CD0C08">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76137"/>
    <w:multiLevelType w:val="hybridMultilevel"/>
    <w:tmpl w:val="BE8215B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0B"/>
    <w:rsid w:val="00010A5B"/>
    <w:rsid w:val="00087C9B"/>
    <w:rsid w:val="0009537E"/>
    <w:rsid w:val="000A2F9B"/>
    <w:rsid w:val="000E128A"/>
    <w:rsid w:val="00142983"/>
    <w:rsid w:val="001706B5"/>
    <w:rsid w:val="001F094B"/>
    <w:rsid w:val="00236381"/>
    <w:rsid w:val="00236419"/>
    <w:rsid w:val="00262CEC"/>
    <w:rsid w:val="002961E4"/>
    <w:rsid w:val="002E3F7B"/>
    <w:rsid w:val="002F50F4"/>
    <w:rsid w:val="003100C8"/>
    <w:rsid w:val="00311726"/>
    <w:rsid w:val="00312D72"/>
    <w:rsid w:val="00340EA9"/>
    <w:rsid w:val="00353A78"/>
    <w:rsid w:val="0039780B"/>
    <w:rsid w:val="003B20ED"/>
    <w:rsid w:val="003B7A17"/>
    <w:rsid w:val="00401916"/>
    <w:rsid w:val="00425A7D"/>
    <w:rsid w:val="00427432"/>
    <w:rsid w:val="00460772"/>
    <w:rsid w:val="0049280C"/>
    <w:rsid w:val="004957DD"/>
    <w:rsid w:val="004A0BA0"/>
    <w:rsid w:val="004F66F5"/>
    <w:rsid w:val="004F74B6"/>
    <w:rsid w:val="00552213"/>
    <w:rsid w:val="00565F29"/>
    <w:rsid w:val="0056682D"/>
    <w:rsid w:val="00576380"/>
    <w:rsid w:val="005946FB"/>
    <w:rsid w:val="005B1F88"/>
    <w:rsid w:val="005B4C28"/>
    <w:rsid w:val="006109D4"/>
    <w:rsid w:val="00614E2F"/>
    <w:rsid w:val="00622962"/>
    <w:rsid w:val="0063394B"/>
    <w:rsid w:val="00660A0E"/>
    <w:rsid w:val="006E4905"/>
    <w:rsid w:val="006F13D1"/>
    <w:rsid w:val="007072BF"/>
    <w:rsid w:val="007B2669"/>
    <w:rsid w:val="0088655F"/>
    <w:rsid w:val="0089311F"/>
    <w:rsid w:val="008B2D52"/>
    <w:rsid w:val="008C23A0"/>
    <w:rsid w:val="008D1EB7"/>
    <w:rsid w:val="008D4F89"/>
    <w:rsid w:val="008F017D"/>
    <w:rsid w:val="00916FE0"/>
    <w:rsid w:val="00967FEE"/>
    <w:rsid w:val="009A58E1"/>
    <w:rsid w:val="009D66A7"/>
    <w:rsid w:val="009E1038"/>
    <w:rsid w:val="009E3777"/>
    <w:rsid w:val="00A00B7D"/>
    <w:rsid w:val="00A03C20"/>
    <w:rsid w:val="00A45834"/>
    <w:rsid w:val="00A83BF8"/>
    <w:rsid w:val="00A84609"/>
    <w:rsid w:val="00AB06CC"/>
    <w:rsid w:val="00AB5C23"/>
    <w:rsid w:val="00B043CF"/>
    <w:rsid w:val="00B11500"/>
    <w:rsid w:val="00B37B62"/>
    <w:rsid w:val="00BB0736"/>
    <w:rsid w:val="00BB0795"/>
    <w:rsid w:val="00BC6D0B"/>
    <w:rsid w:val="00C900DF"/>
    <w:rsid w:val="00CE2152"/>
    <w:rsid w:val="00D243A6"/>
    <w:rsid w:val="00DB571F"/>
    <w:rsid w:val="00DD2D05"/>
    <w:rsid w:val="00DE0EE3"/>
    <w:rsid w:val="00E17BA4"/>
    <w:rsid w:val="00E2455D"/>
    <w:rsid w:val="00E4788C"/>
    <w:rsid w:val="00E9780E"/>
    <w:rsid w:val="00EC71AA"/>
    <w:rsid w:val="00ED2AA1"/>
    <w:rsid w:val="00ED4B44"/>
    <w:rsid w:val="00ED4D55"/>
    <w:rsid w:val="00ED5F24"/>
    <w:rsid w:val="00F07464"/>
    <w:rsid w:val="00F114D2"/>
    <w:rsid w:val="00F4138C"/>
    <w:rsid w:val="00F44D9A"/>
    <w:rsid w:val="00F464FE"/>
    <w:rsid w:val="00F614C0"/>
    <w:rsid w:val="00FD2395"/>
    <w:rsid w:val="00FD6ECC"/>
    <w:rsid w:val="00F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D3EA"/>
  <w15:chartTrackingRefBased/>
  <w15:docId w15:val="{EFD21BF2-03CD-414A-8223-C090A7D0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uiPriority w:val="99"/>
    <w:unhideWhenUsed/>
    <w:qFormat/>
    <w:rsid w:val="00A03C20"/>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qFormat/>
    <w:rsid w:val="00A03C20"/>
    <w:rPr>
      <w:sz w:val="20"/>
      <w:szCs w:val="20"/>
      <w:lang w:val="ka-G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BVI fnr,BVI fnr"/>
    <w:basedOn w:val="DefaultParagraphFont"/>
    <w:link w:val="Char2"/>
    <w:uiPriority w:val="99"/>
    <w:unhideWhenUsed/>
    <w:qFormat/>
    <w:rsid w:val="00A03C20"/>
    <w:rPr>
      <w:vertAlign w:val="superscript"/>
    </w:rPr>
  </w:style>
  <w:style w:type="paragraph" w:customStyle="1" w:styleId="Char2">
    <w:name w:val="Char2"/>
    <w:basedOn w:val="Normal"/>
    <w:link w:val="FootnoteReference"/>
    <w:uiPriority w:val="99"/>
    <w:rsid w:val="0056682D"/>
    <w:pPr>
      <w:spacing w:line="240" w:lineRule="exact"/>
    </w:pPr>
    <w:rPr>
      <w:vertAlign w:val="superscript"/>
      <w:lang w:val="en-US"/>
    </w:rPr>
  </w:style>
  <w:style w:type="table" w:styleId="TableGrid">
    <w:name w:val="Table Grid"/>
    <w:basedOn w:val="TableNormal"/>
    <w:uiPriority w:val="39"/>
    <w:rsid w:val="0042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FEE"/>
    <w:pPr>
      <w:ind w:left="720"/>
      <w:contextualSpacing/>
    </w:pPr>
    <w:rPr>
      <w:lang w:val="en-US"/>
    </w:rPr>
  </w:style>
  <w:style w:type="character" w:styleId="CommentReference">
    <w:name w:val="annotation reference"/>
    <w:basedOn w:val="DefaultParagraphFont"/>
    <w:uiPriority w:val="99"/>
    <w:semiHidden/>
    <w:unhideWhenUsed/>
    <w:rsid w:val="00353A78"/>
    <w:rPr>
      <w:sz w:val="16"/>
      <w:szCs w:val="16"/>
    </w:rPr>
  </w:style>
  <w:style w:type="paragraph" w:styleId="CommentText">
    <w:name w:val="annotation text"/>
    <w:basedOn w:val="Normal"/>
    <w:link w:val="CommentTextChar"/>
    <w:uiPriority w:val="99"/>
    <w:semiHidden/>
    <w:unhideWhenUsed/>
    <w:rsid w:val="00353A78"/>
    <w:pPr>
      <w:spacing w:line="240" w:lineRule="auto"/>
    </w:pPr>
    <w:rPr>
      <w:sz w:val="20"/>
      <w:szCs w:val="20"/>
    </w:rPr>
  </w:style>
  <w:style w:type="character" w:customStyle="1" w:styleId="CommentTextChar">
    <w:name w:val="Comment Text Char"/>
    <w:basedOn w:val="DefaultParagraphFont"/>
    <w:link w:val="CommentText"/>
    <w:uiPriority w:val="99"/>
    <w:semiHidden/>
    <w:rsid w:val="00353A78"/>
    <w:rPr>
      <w:sz w:val="20"/>
      <w:szCs w:val="20"/>
      <w:lang w:val="ka-GE"/>
    </w:rPr>
  </w:style>
  <w:style w:type="paragraph" w:styleId="CommentSubject">
    <w:name w:val="annotation subject"/>
    <w:basedOn w:val="CommentText"/>
    <w:next w:val="CommentText"/>
    <w:link w:val="CommentSubjectChar"/>
    <w:uiPriority w:val="99"/>
    <w:semiHidden/>
    <w:unhideWhenUsed/>
    <w:rsid w:val="00353A78"/>
    <w:rPr>
      <w:b/>
      <w:bCs/>
    </w:rPr>
  </w:style>
  <w:style w:type="character" w:customStyle="1" w:styleId="CommentSubjectChar">
    <w:name w:val="Comment Subject Char"/>
    <w:basedOn w:val="CommentTextChar"/>
    <w:link w:val="CommentSubject"/>
    <w:uiPriority w:val="99"/>
    <w:semiHidden/>
    <w:rsid w:val="00353A78"/>
    <w:rPr>
      <w:b/>
      <w:bCs/>
      <w:sz w:val="20"/>
      <w:szCs w:val="20"/>
      <w:lang w:val="ka-GE"/>
    </w:rPr>
  </w:style>
  <w:style w:type="paragraph" w:styleId="BalloonText">
    <w:name w:val="Balloon Text"/>
    <w:basedOn w:val="Normal"/>
    <w:link w:val="BalloonTextChar"/>
    <w:uiPriority w:val="99"/>
    <w:semiHidden/>
    <w:unhideWhenUsed/>
    <w:rsid w:val="00353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A78"/>
    <w:rPr>
      <w:rFonts w:ascii="Segoe UI" w:hAnsi="Segoe UI" w:cs="Segoe UI"/>
      <w:sz w:val="18"/>
      <w:szCs w:val="18"/>
      <w:lang w:val="ka-GE"/>
    </w:rPr>
  </w:style>
  <w:style w:type="paragraph" w:styleId="NoSpacing">
    <w:name w:val="No Spacing"/>
    <w:uiPriority w:val="1"/>
    <w:qFormat/>
    <w:rsid w:val="00576380"/>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7459">
      <w:bodyDiv w:val="1"/>
      <w:marLeft w:val="0"/>
      <w:marRight w:val="0"/>
      <w:marTop w:val="0"/>
      <w:marBottom w:val="0"/>
      <w:divBdr>
        <w:top w:val="none" w:sz="0" w:space="0" w:color="auto"/>
        <w:left w:val="none" w:sz="0" w:space="0" w:color="auto"/>
        <w:bottom w:val="none" w:sz="0" w:space="0" w:color="auto"/>
        <w:right w:val="none" w:sz="0" w:space="0" w:color="auto"/>
      </w:divBdr>
    </w:div>
    <w:div w:id="7853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goginovi\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a:t>პარტნიორი</a:t>
            </a:r>
            <a:r>
              <a:rPr lang="ka-GE" sz="1100" baseline="0"/>
              <a:t> ორგანიზაციების რეკომენდაციები</a:t>
            </a:r>
            <a:endParaRPr lang="en-GB" sz="11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ka-GE"/>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B42-4C26-A0E6-0D283BBD8F3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B42-4C26-A0E6-0D283BBD8F3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B42-4C26-A0E6-0D283BBD8F33}"/>
              </c:ext>
            </c:extLst>
          </c:dPt>
          <c:dLbls>
            <c:dLbl>
              <c:idx val="0"/>
              <c:tx>
                <c:rich>
                  <a:bodyPr/>
                  <a:lstStyle/>
                  <a:p>
                    <a:r>
                      <a:rPr lang="en-US" baseline="0"/>
                      <a:t> </a:t>
                    </a:r>
                    <a:fld id="{52959F64-D990-4485-91BA-415E99D27088}"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B42-4C26-A0E6-0D283BBD8F33}"/>
                </c:ext>
              </c:extLst>
            </c:dLbl>
            <c:dLbl>
              <c:idx val="1"/>
              <c:tx>
                <c:rich>
                  <a:bodyPr/>
                  <a:lstStyle/>
                  <a:p>
                    <a:r>
                      <a:rPr lang="en-US" baseline="0"/>
                      <a:t> </a:t>
                    </a:r>
                    <a:fld id="{0E35C83C-3FBE-4B2E-AACB-92589D6AF828}"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B42-4C26-A0E6-0D283BBD8F33}"/>
                </c:ext>
              </c:extLst>
            </c:dLbl>
            <c:dLbl>
              <c:idx val="2"/>
              <c:tx>
                <c:rich>
                  <a:bodyPr/>
                  <a:lstStyle/>
                  <a:p>
                    <a:r>
                      <a:rPr lang="en-US" baseline="0"/>
                      <a:t> </a:t>
                    </a:r>
                    <a:fld id="{15C14904-868E-41AF-825C-72388A3BD51A}"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B42-4C26-A0E6-0D283BBD8F3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ka-G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Sheet1!$L$14:$N$14</c:f>
              <c:strCache>
                <c:ptCount val="3"/>
                <c:pt idx="0">
                  <c:v>გათვალისწინებული</c:v>
                </c:pt>
                <c:pt idx="1">
                  <c:v>ნაწილობრივ გათვალისწინებული</c:v>
                </c:pt>
                <c:pt idx="2">
                  <c:v>არ არის გათვალისწინებული</c:v>
                </c:pt>
              </c:strCache>
            </c:strRef>
          </c:cat>
          <c:val>
            <c:numRef>
              <c:f>Sheet1!$L$15:$N$15</c:f>
              <c:numCache>
                <c:formatCode>General</c:formatCode>
                <c:ptCount val="3"/>
                <c:pt idx="0">
                  <c:v>23</c:v>
                </c:pt>
                <c:pt idx="1">
                  <c:v>19</c:v>
                </c:pt>
                <c:pt idx="2">
                  <c:v>63</c:v>
                </c:pt>
              </c:numCache>
            </c:numRef>
          </c:val>
          <c:extLst>
            <c:ext xmlns:c16="http://schemas.microsoft.com/office/drawing/2014/chart" uri="{C3380CC4-5D6E-409C-BE32-E72D297353CC}">
              <c16:uniqueId val="{00000006-1B42-4C26-A0E6-0D283BBD8F3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ka-GE"/>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ka-G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295A8-009E-4E16-83E1-C77D438F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SCMI-Secretariat</dc:creator>
  <cp:keywords/>
  <dc:description/>
  <cp:lastModifiedBy>SCMI-Secretariat</cp:lastModifiedBy>
  <cp:revision>14</cp:revision>
  <dcterms:created xsi:type="dcterms:W3CDTF">2020-12-02T15:01:00Z</dcterms:created>
  <dcterms:modified xsi:type="dcterms:W3CDTF">2020-12-08T06:53:00Z</dcterms:modified>
</cp:coreProperties>
</file>