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2152" w:rsidRDefault="00DA3554" w:rsidP="00DA3554">
      <w:pPr>
        <w:jc w:val="center"/>
        <w:rPr>
          <w:b/>
          <w:sz w:val="24"/>
          <w:szCs w:val="24"/>
          <w:lang w:val="ka-GE"/>
        </w:rPr>
      </w:pPr>
      <w:r w:rsidRPr="00DA3554">
        <w:rPr>
          <w:b/>
          <w:sz w:val="24"/>
          <w:szCs w:val="24"/>
          <w:lang w:val="ka-GE"/>
        </w:rPr>
        <w:t>საქართველოს 2021-2030 წლების მიგრაციის სტრატეგიის პროექტის პარტნიორ ორგანიზაციებთან                                      კონსულტაციების ამსახველი ცხრილი</w:t>
      </w:r>
    </w:p>
    <w:p w:rsidR="00223BC2" w:rsidRPr="00223BC2" w:rsidRDefault="00223BC2" w:rsidP="00DA3554">
      <w:pPr>
        <w:jc w:val="center"/>
        <w:rPr>
          <w:b/>
          <w:sz w:val="24"/>
          <w:szCs w:val="24"/>
        </w:rPr>
      </w:pPr>
      <w:r>
        <w:rPr>
          <w:b/>
          <w:sz w:val="24"/>
          <w:szCs w:val="24"/>
        </w:rPr>
        <w:t xml:space="preserve">Spreadsheet on the public consultation results with partner </w:t>
      </w:r>
      <w:proofErr w:type="spellStart"/>
      <w:r>
        <w:rPr>
          <w:b/>
          <w:sz w:val="24"/>
          <w:szCs w:val="24"/>
        </w:rPr>
        <w:t>organisations</w:t>
      </w:r>
      <w:proofErr w:type="spellEnd"/>
      <w:r>
        <w:rPr>
          <w:b/>
          <w:sz w:val="24"/>
          <w:szCs w:val="24"/>
        </w:rPr>
        <w:t xml:space="preserve"> on the draft Migration Strategy 2021-2030 </w:t>
      </w:r>
    </w:p>
    <w:tbl>
      <w:tblPr>
        <w:tblStyle w:val="TableGrid"/>
        <w:tblW w:w="15030" w:type="dxa"/>
        <w:tblInd w:w="-995" w:type="dxa"/>
        <w:tblLook w:val="04A0" w:firstRow="1" w:lastRow="0" w:firstColumn="1" w:lastColumn="0" w:noHBand="0" w:noVBand="1"/>
      </w:tblPr>
      <w:tblGrid>
        <w:gridCol w:w="2610"/>
        <w:gridCol w:w="5310"/>
        <w:gridCol w:w="5130"/>
        <w:gridCol w:w="1980"/>
      </w:tblGrid>
      <w:tr w:rsidR="00476EA6" w:rsidRPr="008A3E0C" w:rsidTr="00B974C5">
        <w:tc>
          <w:tcPr>
            <w:tcW w:w="2610" w:type="dxa"/>
            <w:shd w:val="clear" w:color="auto" w:fill="D9D9D9" w:themeFill="background1" w:themeFillShade="D9"/>
          </w:tcPr>
          <w:p w:rsidR="00476EA6" w:rsidRDefault="00476EA6" w:rsidP="0012465B">
            <w:pPr>
              <w:spacing w:line="276" w:lineRule="auto"/>
              <w:jc w:val="center"/>
              <w:rPr>
                <w:b/>
                <w:i/>
                <w:sz w:val="20"/>
                <w:szCs w:val="20"/>
                <w:lang w:val="ka-GE"/>
              </w:rPr>
            </w:pPr>
            <w:r w:rsidRPr="00DA3554">
              <w:rPr>
                <w:b/>
                <w:i/>
                <w:sz w:val="20"/>
                <w:szCs w:val="20"/>
                <w:lang w:val="ka-GE"/>
              </w:rPr>
              <w:t>სტრატეგიის ნაწილი</w:t>
            </w:r>
          </w:p>
          <w:p w:rsidR="00476EA6" w:rsidRPr="00476EA6" w:rsidRDefault="00476EA6" w:rsidP="0012465B">
            <w:pPr>
              <w:spacing w:line="276" w:lineRule="auto"/>
              <w:jc w:val="center"/>
              <w:rPr>
                <w:b/>
                <w:i/>
                <w:sz w:val="20"/>
                <w:szCs w:val="20"/>
              </w:rPr>
            </w:pPr>
            <w:r>
              <w:rPr>
                <w:b/>
                <w:i/>
                <w:sz w:val="20"/>
                <w:szCs w:val="20"/>
              </w:rPr>
              <w:t>Part of the Strategy</w:t>
            </w:r>
          </w:p>
        </w:tc>
        <w:tc>
          <w:tcPr>
            <w:tcW w:w="5310" w:type="dxa"/>
            <w:shd w:val="clear" w:color="auto" w:fill="D9D9D9" w:themeFill="background1" w:themeFillShade="D9"/>
          </w:tcPr>
          <w:p w:rsidR="00476EA6" w:rsidRDefault="00476EA6" w:rsidP="0012465B">
            <w:pPr>
              <w:spacing w:line="276" w:lineRule="auto"/>
              <w:jc w:val="center"/>
              <w:rPr>
                <w:b/>
                <w:i/>
                <w:sz w:val="20"/>
                <w:szCs w:val="20"/>
                <w:lang w:val="ka-GE"/>
              </w:rPr>
            </w:pPr>
            <w:r>
              <w:rPr>
                <w:b/>
                <w:i/>
                <w:sz w:val="20"/>
                <w:szCs w:val="20"/>
                <w:lang w:val="ka-GE"/>
              </w:rPr>
              <w:t xml:space="preserve">პარტნიორი ორგანიზაციის </w:t>
            </w:r>
            <w:r w:rsidRPr="00DA3554">
              <w:rPr>
                <w:b/>
                <w:i/>
                <w:sz w:val="20"/>
                <w:szCs w:val="20"/>
                <w:lang w:val="ka-GE"/>
              </w:rPr>
              <w:t>მოსაზრება/რეკომენდაცია</w:t>
            </w:r>
          </w:p>
          <w:p w:rsidR="0012465B" w:rsidRPr="0012465B" w:rsidRDefault="0012465B" w:rsidP="0012465B">
            <w:pPr>
              <w:spacing w:line="276" w:lineRule="auto"/>
              <w:jc w:val="center"/>
              <w:rPr>
                <w:i/>
                <w:sz w:val="16"/>
                <w:szCs w:val="16"/>
                <w:lang w:val="ka-GE"/>
              </w:rPr>
            </w:pPr>
            <w:r w:rsidRPr="0012465B">
              <w:rPr>
                <w:i/>
                <w:sz w:val="16"/>
                <w:szCs w:val="16"/>
              </w:rPr>
              <w:t>(</w:t>
            </w:r>
            <w:r w:rsidRPr="0012465B">
              <w:rPr>
                <w:i/>
                <w:sz w:val="16"/>
                <w:szCs w:val="16"/>
                <w:lang w:val="ka-GE"/>
              </w:rPr>
              <w:t>პარტნიორი ორგანიზაციის მოსაზრება/რეკომენდაცია უნდა იყოს კონკრეტული და საჭიროების შემთხვევაში შემოთავაზებული იყოს შესაბამისი ალტერნატიული ფორმულირება)</w:t>
            </w:r>
          </w:p>
          <w:p w:rsidR="0012465B" w:rsidRDefault="0012465B" w:rsidP="0012465B">
            <w:pPr>
              <w:spacing w:line="276" w:lineRule="auto"/>
              <w:jc w:val="center"/>
              <w:rPr>
                <w:b/>
                <w:i/>
                <w:sz w:val="20"/>
                <w:szCs w:val="20"/>
              </w:rPr>
            </w:pPr>
            <w:r>
              <w:rPr>
                <w:b/>
                <w:i/>
                <w:sz w:val="20"/>
                <w:szCs w:val="20"/>
              </w:rPr>
              <w:t>Partner Organization</w:t>
            </w:r>
            <w:r w:rsidR="00021E8B">
              <w:rPr>
                <w:b/>
                <w:i/>
                <w:sz w:val="20"/>
                <w:szCs w:val="20"/>
              </w:rPr>
              <w:t xml:space="preserve">s’ </w:t>
            </w:r>
            <w:r>
              <w:rPr>
                <w:b/>
                <w:i/>
                <w:sz w:val="20"/>
                <w:szCs w:val="20"/>
              </w:rPr>
              <w:t>comments/recommendations</w:t>
            </w:r>
          </w:p>
          <w:p w:rsidR="00DB1B35" w:rsidRPr="00223BC2" w:rsidRDefault="00223BC2" w:rsidP="005C5F61">
            <w:pPr>
              <w:spacing w:line="276" w:lineRule="auto"/>
              <w:jc w:val="center"/>
              <w:rPr>
                <w:i/>
                <w:sz w:val="16"/>
                <w:szCs w:val="16"/>
                <w:lang w:val="ka-GE"/>
              </w:rPr>
            </w:pPr>
            <w:r>
              <w:rPr>
                <w:i/>
                <w:sz w:val="16"/>
                <w:szCs w:val="16"/>
              </w:rPr>
              <w:t>(</w:t>
            </w:r>
            <w:r w:rsidR="00DB1B35">
              <w:rPr>
                <w:i/>
                <w:sz w:val="16"/>
                <w:szCs w:val="16"/>
              </w:rPr>
              <w:t xml:space="preserve">Comments/recommendations of the partner organizations </w:t>
            </w:r>
            <w:r w:rsidR="005C5F61">
              <w:rPr>
                <w:i/>
                <w:sz w:val="16"/>
                <w:szCs w:val="16"/>
              </w:rPr>
              <w:t>should</w:t>
            </w:r>
            <w:r w:rsidR="00DB1B35">
              <w:rPr>
                <w:i/>
                <w:sz w:val="16"/>
                <w:szCs w:val="16"/>
              </w:rPr>
              <w:t xml:space="preserve"> be concrete and in case of need </w:t>
            </w:r>
            <w:r w:rsidR="00021E8B">
              <w:rPr>
                <w:i/>
                <w:sz w:val="16"/>
                <w:szCs w:val="16"/>
              </w:rPr>
              <w:t xml:space="preserve">relevant </w:t>
            </w:r>
            <w:r w:rsidR="00DB1B35">
              <w:rPr>
                <w:i/>
                <w:sz w:val="16"/>
                <w:szCs w:val="16"/>
              </w:rPr>
              <w:t xml:space="preserve">alternative formulations </w:t>
            </w:r>
            <w:r w:rsidR="00021E8B">
              <w:rPr>
                <w:i/>
                <w:sz w:val="16"/>
                <w:szCs w:val="16"/>
              </w:rPr>
              <w:t xml:space="preserve">        </w:t>
            </w:r>
            <w:r w:rsidR="00B974C5">
              <w:rPr>
                <w:i/>
                <w:sz w:val="16"/>
                <w:szCs w:val="16"/>
              </w:rPr>
              <w:t xml:space="preserve">     </w:t>
            </w:r>
            <w:r w:rsidR="00DB1B35">
              <w:rPr>
                <w:i/>
                <w:sz w:val="16"/>
                <w:szCs w:val="16"/>
              </w:rPr>
              <w:t xml:space="preserve">should be </w:t>
            </w:r>
            <w:proofErr w:type="spellStart"/>
            <w:r w:rsidR="00DB1B35">
              <w:rPr>
                <w:i/>
                <w:sz w:val="16"/>
                <w:szCs w:val="16"/>
              </w:rPr>
              <w:t>su</w:t>
            </w:r>
            <w:r w:rsidR="00DB1B35">
              <w:rPr>
                <w:i/>
                <w:sz w:val="16"/>
                <w:szCs w:val="16"/>
                <w:lang w:val="ka-GE"/>
              </w:rPr>
              <w:t>bmitted</w:t>
            </w:r>
            <w:proofErr w:type="spellEnd"/>
            <w:r>
              <w:rPr>
                <w:i/>
                <w:sz w:val="16"/>
                <w:szCs w:val="16"/>
              </w:rPr>
              <w:t>)</w:t>
            </w:r>
            <w:r w:rsidR="00DB1B35">
              <w:rPr>
                <w:i/>
                <w:sz w:val="16"/>
                <w:szCs w:val="16"/>
              </w:rPr>
              <w:t xml:space="preserve"> </w:t>
            </w:r>
          </w:p>
        </w:tc>
        <w:tc>
          <w:tcPr>
            <w:tcW w:w="5130" w:type="dxa"/>
            <w:shd w:val="clear" w:color="auto" w:fill="D9D9D9" w:themeFill="background1" w:themeFillShade="D9"/>
          </w:tcPr>
          <w:p w:rsidR="00476EA6" w:rsidRDefault="00476EA6" w:rsidP="0012465B">
            <w:pPr>
              <w:spacing w:line="276" w:lineRule="auto"/>
              <w:jc w:val="center"/>
              <w:rPr>
                <w:b/>
                <w:i/>
                <w:sz w:val="20"/>
                <w:szCs w:val="20"/>
                <w:lang w:val="ka-GE"/>
              </w:rPr>
            </w:pPr>
            <w:proofErr w:type="spellStart"/>
            <w:r w:rsidRPr="00DA3554">
              <w:rPr>
                <w:b/>
                <w:i/>
                <w:sz w:val="20"/>
                <w:szCs w:val="20"/>
                <w:lang w:val="ka-GE"/>
              </w:rPr>
              <w:t>მსსკ</w:t>
            </w:r>
            <w:proofErr w:type="spellEnd"/>
            <w:r w:rsidRPr="00DA3554">
              <w:rPr>
                <w:b/>
                <w:i/>
                <w:sz w:val="20"/>
                <w:szCs w:val="20"/>
                <w:lang w:val="ka-GE"/>
              </w:rPr>
              <w:t>-ის საპასუხო პოზიცია</w:t>
            </w:r>
          </w:p>
          <w:p w:rsidR="00D87268" w:rsidRPr="00D87268" w:rsidRDefault="00D87268" w:rsidP="0012465B">
            <w:pPr>
              <w:spacing w:line="276" w:lineRule="auto"/>
              <w:jc w:val="center"/>
              <w:rPr>
                <w:i/>
                <w:sz w:val="16"/>
                <w:szCs w:val="16"/>
                <w:lang w:val="ka-GE"/>
              </w:rPr>
            </w:pPr>
            <w:r w:rsidRPr="004F403F">
              <w:rPr>
                <w:i/>
                <w:sz w:val="16"/>
                <w:szCs w:val="16"/>
                <w:lang w:val="ka-GE"/>
              </w:rPr>
              <w:t>(</w:t>
            </w:r>
            <w:r w:rsidRPr="00D87268">
              <w:rPr>
                <w:i/>
                <w:sz w:val="16"/>
                <w:szCs w:val="16"/>
                <w:lang w:val="ka-GE"/>
              </w:rPr>
              <w:t xml:space="preserve">კომისიის წევრი პროფილური უწყების </w:t>
            </w:r>
            <w:r>
              <w:rPr>
                <w:i/>
                <w:sz w:val="16"/>
                <w:szCs w:val="16"/>
                <w:lang w:val="ka-GE"/>
              </w:rPr>
              <w:t>დასაბუთებული პოზიცია</w:t>
            </w:r>
            <w:r w:rsidRPr="00D87268">
              <w:rPr>
                <w:i/>
                <w:sz w:val="16"/>
                <w:szCs w:val="16"/>
                <w:lang w:val="ka-GE"/>
              </w:rPr>
              <w:t xml:space="preserve"> პარტნიორი ორგანიზაციის </w:t>
            </w:r>
            <w:r>
              <w:rPr>
                <w:i/>
                <w:sz w:val="16"/>
                <w:szCs w:val="16"/>
                <w:lang w:val="ka-GE"/>
              </w:rPr>
              <w:t xml:space="preserve">თითოეულ </w:t>
            </w:r>
            <w:r w:rsidRPr="00D87268">
              <w:rPr>
                <w:i/>
                <w:sz w:val="16"/>
                <w:szCs w:val="16"/>
                <w:lang w:val="ka-GE"/>
              </w:rPr>
              <w:t>მოსაზრებასა და რეკომენდაციაზე)</w:t>
            </w:r>
          </w:p>
          <w:p w:rsidR="00476EA6" w:rsidRPr="004F403F" w:rsidRDefault="00476EA6" w:rsidP="0012465B">
            <w:pPr>
              <w:spacing w:line="276" w:lineRule="auto"/>
              <w:jc w:val="center"/>
              <w:rPr>
                <w:b/>
                <w:i/>
                <w:sz w:val="20"/>
                <w:szCs w:val="20"/>
                <w:lang w:val="ka-GE"/>
              </w:rPr>
            </w:pPr>
            <w:r w:rsidRPr="004F403F">
              <w:rPr>
                <w:b/>
                <w:i/>
                <w:sz w:val="20"/>
                <w:szCs w:val="20"/>
                <w:lang w:val="ka-GE"/>
              </w:rPr>
              <w:t xml:space="preserve">SCMI </w:t>
            </w:r>
            <w:proofErr w:type="spellStart"/>
            <w:r w:rsidRPr="004F403F">
              <w:rPr>
                <w:b/>
                <w:i/>
                <w:sz w:val="20"/>
                <w:szCs w:val="20"/>
                <w:lang w:val="ka-GE"/>
              </w:rPr>
              <w:t>Response</w:t>
            </w:r>
            <w:proofErr w:type="spellEnd"/>
          </w:p>
          <w:p w:rsidR="00223BC2" w:rsidRPr="004F403F" w:rsidRDefault="00223BC2" w:rsidP="0012465B">
            <w:pPr>
              <w:spacing w:line="276" w:lineRule="auto"/>
              <w:jc w:val="center"/>
              <w:rPr>
                <w:b/>
                <w:i/>
                <w:sz w:val="20"/>
                <w:szCs w:val="20"/>
                <w:lang w:val="ka-GE"/>
              </w:rPr>
            </w:pPr>
            <w:r w:rsidRPr="004F403F">
              <w:rPr>
                <w:i/>
                <w:sz w:val="16"/>
                <w:szCs w:val="16"/>
                <w:lang w:val="ka-GE"/>
              </w:rPr>
              <w:t>(</w:t>
            </w:r>
            <w:proofErr w:type="spellStart"/>
            <w:r w:rsidRPr="004F403F">
              <w:rPr>
                <w:i/>
                <w:sz w:val="16"/>
                <w:szCs w:val="16"/>
                <w:lang w:val="ka-GE"/>
              </w:rPr>
              <w:t>Substantiated</w:t>
            </w:r>
            <w:proofErr w:type="spellEnd"/>
            <w:r w:rsidRPr="004F403F">
              <w:rPr>
                <w:i/>
                <w:sz w:val="16"/>
                <w:szCs w:val="16"/>
                <w:lang w:val="ka-GE"/>
              </w:rPr>
              <w:t xml:space="preserve"> </w:t>
            </w:r>
            <w:proofErr w:type="spellStart"/>
            <w:r w:rsidRPr="004F403F">
              <w:rPr>
                <w:i/>
                <w:sz w:val="16"/>
                <w:szCs w:val="16"/>
                <w:lang w:val="ka-GE"/>
              </w:rPr>
              <w:t>positions</w:t>
            </w:r>
            <w:proofErr w:type="spellEnd"/>
            <w:r w:rsidRPr="004F403F">
              <w:rPr>
                <w:i/>
                <w:sz w:val="16"/>
                <w:szCs w:val="16"/>
                <w:lang w:val="ka-GE"/>
              </w:rPr>
              <w:t xml:space="preserve"> of </w:t>
            </w:r>
            <w:proofErr w:type="spellStart"/>
            <w:r w:rsidRPr="004F403F">
              <w:rPr>
                <w:i/>
                <w:sz w:val="16"/>
                <w:szCs w:val="16"/>
                <w:lang w:val="ka-GE"/>
              </w:rPr>
              <w:t>the</w:t>
            </w:r>
            <w:proofErr w:type="spellEnd"/>
            <w:r w:rsidRPr="004F403F">
              <w:rPr>
                <w:i/>
                <w:sz w:val="16"/>
                <w:szCs w:val="16"/>
                <w:lang w:val="ka-GE"/>
              </w:rPr>
              <w:t xml:space="preserve"> </w:t>
            </w:r>
            <w:proofErr w:type="spellStart"/>
            <w:r w:rsidRPr="004F403F">
              <w:rPr>
                <w:i/>
                <w:sz w:val="16"/>
                <w:szCs w:val="16"/>
                <w:lang w:val="ka-GE"/>
              </w:rPr>
              <w:t>relevant</w:t>
            </w:r>
            <w:proofErr w:type="spellEnd"/>
            <w:r w:rsidRPr="004F403F">
              <w:rPr>
                <w:i/>
                <w:sz w:val="16"/>
                <w:szCs w:val="16"/>
                <w:lang w:val="ka-GE"/>
              </w:rPr>
              <w:t xml:space="preserve"> SCMI </w:t>
            </w:r>
            <w:proofErr w:type="spellStart"/>
            <w:r w:rsidRPr="004F403F">
              <w:rPr>
                <w:i/>
                <w:sz w:val="16"/>
                <w:szCs w:val="16"/>
                <w:lang w:val="ka-GE"/>
              </w:rPr>
              <w:t>member</w:t>
            </w:r>
            <w:proofErr w:type="spellEnd"/>
            <w:r w:rsidRPr="004F403F">
              <w:rPr>
                <w:i/>
                <w:sz w:val="16"/>
                <w:szCs w:val="16"/>
                <w:lang w:val="ka-GE"/>
              </w:rPr>
              <w:t xml:space="preserve"> </w:t>
            </w:r>
            <w:proofErr w:type="spellStart"/>
            <w:r w:rsidRPr="004F403F">
              <w:rPr>
                <w:i/>
                <w:sz w:val="16"/>
                <w:szCs w:val="16"/>
                <w:lang w:val="ka-GE"/>
              </w:rPr>
              <w:t>agencies</w:t>
            </w:r>
            <w:proofErr w:type="spellEnd"/>
            <w:r w:rsidRPr="004F403F">
              <w:rPr>
                <w:i/>
                <w:sz w:val="16"/>
                <w:szCs w:val="16"/>
                <w:lang w:val="ka-GE"/>
              </w:rPr>
              <w:t xml:space="preserve"> </w:t>
            </w:r>
            <w:proofErr w:type="spellStart"/>
            <w:r w:rsidRPr="004F403F">
              <w:rPr>
                <w:i/>
                <w:sz w:val="16"/>
                <w:szCs w:val="16"/>
                <w:lang w:val="ka-GE"/>
              </w:rPr>
              <w:t>on</w:t>
            </w:r>
            <w:proofErr w:type="spellEnd"/>
            <w:r w:rsidRPr="004F403F">
              <w:rPr>
                <w:i/>
                <w:sz w:val="16"/>
                <w:szCs w:val="16"/>
                <w:lang w:val="ka-GE"/>
              </w:rPr>
              <w:t xml:space="preserve"> </w:t>
            </w:r>
            <w:proofErr w:type="spellStart"/>
            <w:r w:rsidRPr="004F403F">
              <w:rPr>
                <w:i/>
                <w:sz w:val="16"/>
                <w:szCs w:val="16"/>
                <w:lang w:val="ka-GE"/>
              </w:rPr>
              <w:t>the</w:t>
            </w:r>
            <w:proofErr w:type="spellEnd"/>
            <w:r w:rsidRPr="004F403F">
              <w:rPr>
                <w:i/>
                <w:sz w:val="16"/>
                <w:szCs w:val="16"/>
                <w:lang w:val="ka-GE"/>
              </w:rPr>
              <w:t xml:space="preserve"> </w:t>
            </w:r>
            <w:proofErr w:type="spellStart"/>
            <w:r w:rsidRPr="004F403F">
              <w:rPr>
                <w:i/>
                <w:sz w:val="16"/>
                <w:szCs w:val="16"/>
                <w:lang w:val="ka-GE"/>
              </w:rPr>
              <w:t>each</w:t>
            </w:r>
            <w:proofErr w:type="spellEnd"/>
            <w:r w:rsidRPr="004F403F">
              <w:rPr>
                <w:i/>
                <w:sz w:val="16"/>
                <w:szCs w:val="16"/>
                <w:lang w:val="ka-GE"/>
              </w:rPr>
              <w:t xml:space="preserve"> </w:t>
            </w:r>
            <w:proofErr w:type="spellStart"/>
            <w:r w:rsidRPr="004F403F">
              <w:rPr>
                <w:i/>
                <w:sz w:val="16"/>
                <w:szCs w:val="16"/>
                <w:lang w:val="ka-GE"/>
              </w:rPr>
              <w:t>comment</w:t>
            </w:r>
            <w:proofErr w:type="spellEnd"/>
            <w:r w:rsidRPr="004F403F">
              <w:rPr>
                <w:i/>
                <w:sz w:val="16"/>
                <w:szCs w:val="16"/>
                <w:lang w:val="ka-GE"/>
              </w:rPr>
              <w:t>/</w:t>
            </w:r>
            <w:proofErr w:type="spellStart"/>
            <w:r w:rsidRPr="004F403F">
              <w:rPr>
                <w:i/>
                <w:sz w:val="16"/>
                <w:szCs w:val="16"/>
                <w:lang w:val="ka-GE"/>
              </w:rPr>
              <w:t>recommendation</w:t>
            </w:r>
            <w:proofErr w:type="spellEnd"/>
            <w:r w:rsidRPr="004F403F">
              <w:rPr>
                <w:i/>
                <w:sz w:val="16"/>
                <w:szCs w:val="16"/>
                <w:lang w:val="ka-GE"/>
              </w:rPr>
              <w:t>)</w:t>
            </w:r>
          </w:p>
        </w:tc>
        <w:tc>
          <w:tcPr>
            <w:tcW w:w="1980" w:type="dxa"/>
            <w:shd w:val="clear" w:color="auto" w:fill="D9D9D9" w:themeFill="background1" w:themeFillShade="D9"/>
          </w:tcPr>
          <w:p w:rsidR="00476EA6" w:rsidRDefault="00476EA6" w:rsidP="0012465B">
            <w:pPr>
              <w:spacing w:line="276" w:lineRule="auto"/>
              <w:jc w:val="center"/>
              <w:rPr>
                <w:b/>
                <w:i/>
                <w:sz w:val="20"/>
                <w:szCs w:val="20"/>
                <w:lang w:val="ka-GE"/>
              </w:rPr>
            </w:pPr>
            <w:r w:rsidRPr="00DA3554">
              <w:rPr>
                <w:b/>
                <w:i/>
                <w:sz w:val="20"/>
                <w:szCs w:val="20"/>
                <w:lang w:val="ka-GE"/>
              </w:rPr>
              <w:t>გათვალისწინების სტატუსი</w:t>
            </w:r>
          </w:p>
          <w:p w:rsidR="00476EA6" w:rsidRDefault="00476EA6" w:rsidP="0012465B">
            <w:pPr>
              <w:spacing w:line="276" w:lineRule="auto"/>
              <w:jc w:val="center"/>
              <w:rPr>
                <w:i/>
                <w:sz w:val="16"/>
                <w:szCs w:val="16"/>
                <w:lang w:val="ka-GE"/>
              </w:rPr>
            </w:pPr>
            <w:r w:rsidRPr="00476EA6">
              <w:rPr>
                <w:i/>
                <w:sz w:val="16"/>
                <w:szCs w:val="16"/>
                <w:lang w:val="ka-GE"/>
              </w:rPr>
              <w:t xml:space="preserve">(სრულად, ნაწილობრივ და </w:t>
            </w:r>
            <w:r>
              <w:rPr>
                <w:i/>
                <w:sz w:val="16"/>
                <w:szCs w:val="16"/>
                <w:lang w:val="ka-GE"/>
              </w:rPr>
              <w:t xml:space="preserve">საერთოდ </w:t>
            </w:r>
            <w:r w:rsidRPr="00476EA6">
              <w:rPr>
                <w:i/>
                <w:sz w:val="16"/>
                <w:szCs w:val="16"/>
                <w:lang w:val="ka-GE"/>
              </w:rPr>
              <w:t>არგათვალისწ</w:t>
            </w:r>
            <w:r>
              <w:rPr>
                <w:i/>
                <w:sz w:val="16"/>
                <w:szCs w:val="16"/>
                <w:lang w:val="ka-GE"/>
              </w:rPr>
              <w:t>ი</w:t>
            </w:r>
            <w:r w:rsidRPr="00476EA6">
              <w:rPr>
                <w:i/>
                <w:sz w:val="16"/>
                <w:szCs w:val="16"/>
                <w:lang w:val="ka-GE"/>
              </w:rPr>
              <w:t>ნება)</w:t>
            </w:r>
          </w:p>
          <w:p w:rsidR="0012465B" w:rsidRPr="004F403F" w:rsidRDefault="0012465B" w:rsidP="0012465B">
            <w:pPr>
              <w:spacing w:line="276" w:lineRule="auto"/>
              <w:jc w:val="center"/>
              <w:rPr>
                <w:b/>
                <w:i/>
                <w:sz w:val="20"/>
                <w:szCs w:val="20"/>
                <w:lang w:val="ka-GE"/>
              </w:rPr>
            </w:pPr>
            <w:proofErr w:type="spellStart"/>
            <w:r w:rsidRPr="004F403F">
              <w:rPr>
                <w:b/>
                <w:i/>
                <w:sz w:val="20"/>
                <w:szCs w:val="20"/>
                <w:lang w:val="ka-GE"/>
              </w:rPr>
              <w:t>Status</w:t>
            </w:r>
            <w:proofErr w:type="spellEnd"/>
            <w:r w:rsidRPr="004F403F">
              <w:rPr>
                <w:b/>
                <w:i/>
                <w:sz w:val="20"/>
                <w:szCs w:val="20"/>
                <w:lang w:val="ka-GE"/>
              </w:rPr>
              <w:t xml:space="preserve"> of </w:t>
            </w:r>
            <w:proofErr w:type="spellStart"/>
            <w:r w:rsidRPr="004F403F">
              <w:rPr>
                <w:b/>
                <w:i/>
                <w:sz w:val="20"/>
                <w:szCs w:val="20"/>
                <w:lang w:val="ka-GE"/>
              </w:rPr>
              <w:t>reflection</w:t>
            </w:r>
            <w:proofErr w:type="spellEnd"/>
          </w:p>
          <w:p w:rsidR="0012465B" w:rsidRPr="004F403F" w:rsidRDefault="0012465B" w:rsidP="0012465B">
            <w:pPr>
              <w:spacing w:line="276" w:lineRule="auto"/>
              <w:jc w:val="center"/>
              <w:rPr>
                <w:i/>
                <w:sz w:val="16"/>
                <w:szCs w:val="16"/>
                <w:lang w:val="ka-GE"/>
              </w:rPr>
            </w:pPr>
            <w:r w:rsidRPr="00476EA6">
              <w:rPr>
                <w:i/>
                <w:sz w:val="16"/>
                <w:szCs w:val="16"/>
                <w:lang w:val="ka-GE"/>
              </w:rPr>
              <w:t>(</w:t>
            </w:r>
            <w:proofErr w:type="spellStart"/>
            <w:r w:rsidRPr="004F403F">
              <w:rPr>
                <w:i/>
                <w:sz w:val="16"/>
                <w:szCs w:val="16"/>
                <w:lang w:val="ka-GE"/>
              </w:rPr>
              <w:t>Fully</w:t>
            </w:r>
            <w:proofErr w:type="spellEnd"/>
            <w:r w:rsidRPr="00476EA6">
              <w:rPr>
                <w:i/>
                <w:sz w:val="16"/>
                <w:szCs w:val="16"/>
                <w:lang w:val="ka-GE"/>
              </w:rPr>
              <w:t xml:space="preserve">, </w:t>
            </w:r>
            <w:proofErr w:type="spellStart"/>
            <w:r w:rsidRPr="004F403F">
              <w:rPr>
                <w:i/>
                <w:sz w:val="16"/>
                <w:szCs w:val="16"/>
                <w:lang w:val="ka-GE"/>
              </w:rPr>
              <w:t>partially</w:t>
            </w:r>
            <w:proofErr w:type="spellEnd"/>
            <w:r w:rsidRPr="00476EA6">
              <w:rPr>
                <w:i/>
                <w:sz w:val="16"/>
                <w:szCs w:val="16"/>
                <w:lang w:val="ka-GE"/>
              </w:rPr>
              <w:t xml:space="preserve"> </w:t>
            </w:r>
            <w:proofErr w:type="spellStart"/>
            <w:r w:rsidRPr="004F403F">
              <w:rPr>
                <w:i/>
                <w:sz w:val="16"/>
                <w:szCs w:val="16"/>
                <w:lang w:val="ka-GE"/>
              </w:rPr>
              <w:t>and</w:t>
            </w:r>
            <w:proofErr w:type="spellEnd"/>
            <w:r w:rsidRPr="004F403F">
              <w:rPr>
                <w:i/>
                <w:sz w:val="16"/>
                <w:szCs w:val="16"/>
                <w:lang w:val="ka-GE"/>
              </w:rPr>
              <w:t xml:space="preserve"> </w:t>
            </w:r>
            <w:proofErr w:type="spellStart"/>
            <w:r w:rsidRPr="004F403F">
              <w:rPr>
                <w:i/>
                <w:sz w:val="16"/>
                <w:szCs w:val="16"/>
                <w:lang w:val="ka-GE"/>
              </w:rPr>
              <w:t>not</w:t>
            </w:r>
            <w:proofErr w:type="spellEnd"/>
            <w:r w:rsidRPr="004F403F">
              <w:rPr>
                <w:i/>
                <w:sz w:val="16"/>
                <w:szCs w:val="16"/>
                <w:lang w:val="ka-GE"/>
              </w:rPr>
              <w:t xml:space="preserve"> </w:t>
            </w:r>
            <w:proofErr w:type="spellStart"/>
            <w:r w:rsidRPr="004F403F">
              <w:rPr>
                <w:i/>
                <w:sz w:val="16"/>
                <w:szCs w:val="16"/>
                <w:lang w:val="ka-GE"/>
              </w:rPr>
              <w:t>reflected</w:t>
            </w:r>
            <w:proofErr w:type="spellEnd"/>
            <w:r w:rsidRPr="004F403F">
              <w:rPr>
                <w:i/>
                <w:sz w:val="16"/>
                <w:szCs w:val="16"/>
                <w:lang w:val="ka-GE"/>
              </w:rPr>
              <w:t>)</w:t>
            </w:r>
          </w:p>
        </w:tc>
      </w:tr>
      <w:tr w:rsidR="00476EA6" w:rsidTr="00B974C5">
        <w:tc>
          <w:tcPr>
            <w:tcW w:w="2610" w:type="dxa"/>
          </w:tcPr>
          <w:p w:rsidR="00476EA6" w:rsidRDefault="00476EA6" w:rsidP="00476EA6">
            <w:pPr>
              <w:jc w:val="center"/>
              <w:rPr>
                <w:sz w:val="20"/>
                <w:szCs w:val="20"/>
                <w:lang w:val="ka-GE"/>
              </w:rPr>
            </w:pPr>
            <w:r>
              <w:rPr>
                <w:sz w:val="20"/>
                <w:szCs w:val="20"/>
                <w:lang w:val="ka-GE"/>
              </w:rPr>
              <w:t>სიტუაციის მიმოხილვა, სამიზნე ჯგუფები, ხედვა და მეთოდოლოგია</w:t>
            </w:r>
          </w:p>
          <w:p w:rsidR="00223BC2" w:rsidRPr="004F403F" w:rsidRDefault="00223BC2" w:rsidP="00476EA6">
            <w:pPr>
              <w:jc w:val="center"/>
              <w:rPr>
                <w:sz w:val="20"/>
                <w:szCs w:val="20"/>
                <w:lang w:val="ka-GE"/>
              </w:rPr>
            </w:pPr>
            <w:proofErr w:type="spellStart"/>
            <w:r w:rsidRPr="004F403F">
              <w:rPr>
                <w:sz w:val="20"/>
                <w:szCs w:val="20"/>
                <w:lang w:val="ka-GE"/>
              </w:rPr>
              <w:t>Background</w:t>
            </w:r>
            <w:proofErr w:type="spellEnd"/>
            <w:r w:rsidRPr="004F403F">
              <w:rPr>
                <w:sz w:val="20"/>
                <w:szCs w:val="20"/>
                <w:lang w:val="ka-GE"/>
              </w:rPr>
              <w:t xml:space="preserve">, </w:t>
            </w:r>
            <w:proofErr w:type="spellStart"/>
            <w:r w:rsidRPr="004F403F">
              <w:rPr>
                <w:sz w:val="20"/>
                <w:szCs w:val="20"/>
                <w:lang w:val="ka-GE"/>
              </w:rPr>
              <w:t>target</w:t>
            </w:r>
            <w:proofErr w:type="spellEnd"/>
            <w:r w:rsidRPr="004F403F">
              <w:rPr>
                <w:sz w:val="20"/>
                <w:szCs w:val="20"/>
                <w:lang w:val="ka-GE"/>
              </w:rPr>
              <w:t xml:space="preserve"> </w:t>
            </w:r>
            <w:proofErr w:type="spellStart"/>
            <w:r w:rsidRPr="004F403F">
              <w:rPr>
                <w:sz w:val="20"/>
                <w:szCs w:val="20"/>
                <w:lang w:val="ka-GE"/>
              </w:rPr>
              <w:t>groups</w:t>
            </w:r>
            <w:proofErr w:type="spellEnd"/>
            <w:r w:rsidRPr="004F403F">
              <w:rPr>
                <w:sz w:val="20"/>
                <w:szCs w:val="20"/>
                <w:lang w:val="ka-GE"/>
              </w:rPr>
              <w:t xml:space="preserve">, </w:t>
            </w:r>
            <w:proofErr w:type="spellStart"/>
            <w:r w:rsidRPr="004F403F">
              <w:rPr>
                <w:sz w:val="20"/>
                <w:szCs w:val="20"/>
                <w:lang w:val="ka-GE"/>
              </w:rPr>
              <w:t>vision</w:t>
            </w:r>
            <w:proofErr w:type="spellEnd"/>
            <w:r w:rsidRPr="004F403F">
              <w:rPr>
                <w:sz w:val="20"/>
                <w:szCs w:val="20"/>
                <w:lang w:val="ka-GE"/>
              </w:rPr>
              <w:t xml:space="preserve"> </w:t>
            </w:r>
            <w:proofErr w:type="spellStart"/>
            <w:r w:rsidRPr="004F403F">
              <w:rPr>
                <w:sz w:val="20"/>
                <w:szCs w:val="20"/>
                <w:lang w:val="ka-GE"/>
              </w:rPr>
              <w:t>and</w:t>
            </w:r>
            <w:proofErr w:type="spellEnd"/>
            <w:r w:rsidRPr="004F403F">
              <w:rPr>
                <w:sz w:val="20"/>
                <w:szCs w:val="20"/>
                <w:lang w:val="ka-GE"/>
              </w:rPr>
              <w:t xml:space="preserve"> </w:t>
            </w:r>
            <w:proofErr w:type="spellStart"/>
            <w:r w:rsidRPr="004F403F">
              <w:rPr>
                <w:sz w:val="20"/>
                <w:szCs w:val="20"/>
                <w:lang w:val="ka-GE"/>
              </w:rPr>
              <w:t>methodology</w:t>
            </w:r>
            <w:proofErr w:type="spellEnd"/>
          </w:p>
        </w:tc>
        <w:tc>
          <w:tcPr>
            <w:tcW w:w="5310" w:type="dxa"/>
          </w:tcPr>
          <w:p w:rsidR="00FB3521" w:rsidRPr="00FB3521" w:rsidRDefault="00FB3521" w:rsidP="00FB3521">
            <w:pPr>
              <w:pStyle w:val="ListParagraph"/>
              <w:numPr>
                <w:ilvl w:val="0"/>
                <w:numId w:val="1"/>
              </w:numPr>
              <w:ind w:left="0"/>
              <w:jc w:val="both"/>
              <w:rPr>
                <w:rFonts w:ascii="Sylfaen" w:hAnsi="Sylfaen"/>
                <w:sz w:val="20"/>
                <w:szCs w:val="20"/>
                <w:lang w:val="en-GB"/>
              </w:rPr>
            </w:pPr>
            <w:r w:rsidRPr="00FB3521">
              <w:rPr>
                <w:rFonts w:ascii="Sylfaen" w:hAnsi="Sylfaen"/>
                <w:sz w:val="20"/>
                <w:szCs w:val="20"/>
                <w:lang w:val="en-US"/>
              </w:rPr>
              <w:t xml:space="preserve">1. There are also several elements that are missing in the current draft; it would be of added value to include links to climate change and gender dimensions in migration. </w:t>
            </w:r>
          </w:p>
          <w:p w:rsidR="00021E8B" w:rsidRPr="00021E8B" w:rsidRDefault="00021E8B" w:rsidP="00021E8B">
            <w:pPr>
              <w:spacing w:line="276" w:lineRule="auto"/>
            </w:pPr>
          </w:p>
        </w:tc>
        <w:tc>
          <w:tcPr>
            <w:tcW w:w="5130" w:type="dxa"/>
          </w:tcPr>
          <w:p w:rsidR="00151FB6" w:rsidRDefault="00151FB6" w:rsidP="00151FB6">
            <w:pPr>
              <w:jc w:val="both"/>
              <w:rPr>
                <w:sz w:val="20"/>
                <w:szCs w:val="20"/>
              </w:rPr>
            </w:pPr>
            <w:r>
              <w:rPr>
                <w:color w:val="000000"/>
                <w:sz w:val="20"/>
                <w:szCs w:val="20"/>
              </w:rPr>
              <w:t>The issue of gender is not touch</w:t>
            </w:r>
            <w:r w:rsidR="005623D7">
              <w:rPr>
                <w:color w:val="000000"/>
                <w:sz w:val="20"/>
                <w:szCs w:val="20"/>
              </w:rPr>
              <w:t xml:space="preserve">ed upon on purpose, while this, </w:t>
            </w:r>
            <w:r>
              <w:rPr>
                <w:color w:val="000000"/>
                <w:sz w:val="20"/>
                <w:szCs w:val="20"/>
              </w:rPr>
              <w:t>as well as environmental migration</w:t>
            </w:r>
            <w:r w:rsidR="005623D7">
              <w:rPr>
                <w:color w:val="000000"/>
                <w:sz w:val="20"/>
                <w:szCs w:val="20"/>
              </w:rPr>
              <w:t xml:space="preserve"> [eco-migrants]</w:t>
            </w:r>
            <w:r>
              <w:rPr>
                <w:color w:val="000000"/>
                <w:sz w:val="20"/>
                <w:szCs w:val="20"/>
              </w:rPr>
              <w:t xml:space="preserve">, </w:t>
            </w:r>
            <w:r w:rsidR="005623D7">
              <w:rPr>
                <w:color w:val="000000"/>
                <w:sz w:val="20"/>
                <w:szCs w:val="20"/>
                <w:lang w:val="ka-GE"/>
              </w:rPr>
              <w:t>(</w:t>
            </w:r>
            <w:r>
              <w:rPr>
                <w:color w:val="000000"/>
                <w:sz w:val="20"/>
                <w:szCs w:val="20"/>
              </w:rPr>
              <w:t xml:space="preserve">which </w:t>
            </w:r>
            <w:r>
              <w:rPr>
                <w:sz w:val="20"/>
                <w:szCs w:val="20"/>
              </w:rPr>
              <w:t xml:space="preserve">in case of Georgia is mainly a matter of internal migration within the country, thus we on purpose do not </w:t>
            </w:r>
            <w:r w:rsidR="005623D7">
              <w:rPr>
                <w:sz w:val="20"/>
                <w:szCs w:val="20"/>
              </w:rPr>
              <w:t>mix</w:t>
            </w:r>
            <w:r>
              <w:rPr>
                <w:sz w:val="20"/>
                <w:szCs w:val="20"/>
              </w:rPr>
              <w:t xml:space="preserve"> it with international migration</w:t>
            </w:r>
            <w:r>
              <w:rPr>
                <w:color w:val="000000"/>
                <w:sz w:val="20"/>
                <w:szCs w:val="20"/>
              </w:rPr>
              <w:t xml:space="preserve">) is the part of the human rights strategy, which is in the process of finalization and covers the very same period (2021-2030) as the given strategy. </w:t>
            </w:r>
          </w:p>
          <w:p w:rsidR="00151FB6" w:rsidRDefault="00151FB6" w:rsidP="00151FB6">
            <w:pPr>
              <w:jc w:val="both"/>
              <w:rPr>
                <w:rFonts w:ascii="Calibri" w:hAnsi="Calibri"/>
                <w:color w:val="000000"/>
                <w:sz w:val="20"/>
                <w:szCs w:val="20"/>
              </w:rPr>
            </w:pPr>
          </w:p>
          <w:p w:rsidR="00151FB6" w:rsidRDefault="00151FB6" w:rsidP="00151FB6">
            <w:pPr>
              <w:jc w:val="both"/>
              <w:rPr>
                <w:color w:val="1F497D"/>
              </w:rPr>
            </w:pPr>
            <w:proofErr w:type="spellStart"/>
            <w:proofErr w:type="gramStart"/>
            <w:r>
              <w:rPr>
                <w:sz w:val="20"/>
                <w:szCs w:val="20"/>
              </w:rPr>
              <w:t>გენდერის</w:t>
            </w:r>
            <w:proofErr w:type="spellEnd"/>
            <w:proofErr w:type="gramEnd"/>
            <w:r>
              <w:rPr>
                <w:sz w:val="20"/>
                <w:szCs w:val="20"/>
              </w:rPr>
              <w:t xml:space="preserve"> </w:t>
            </w:r>
            <w:proofErr w:type="spellStart"/>
            <w:r>
              <w:rPr>
                <w:sz w:val="20"/>
                <w:szCs w:val="20"/>
              </w:rPr>
              <w:t>თემის</w:t>
            </w:r>
            <w:proofErr w:type="spellEnd"/>
            <w:r>
              <w:rPr>
                <w:sz w:val="20"/>
                <w:szCs w:val="20"/>
              </w:rPr>
              <w:t xml:space="preserve"> </w:t>
            </w:r>
            <w:proofErr w:type="spellStart"/>
            <w:r>
              <w:rPr>
                <w:sz w:val="20"/>
                <w:szCs w:val="20"/>
              </w:rPr>
              <w:t>არ</w:t>
            </w:r>
            <w:proofErr w:type="spellEnd"/>
            <w:r>
              <w:rPr>
                <w:sz w:val="20"/>
                <w:szCs w:val="20"/>
              </w:rPr>
              <w:t xml:space="preserve"> </w:t>
            </w:r>
            <w:proofErr w:type="spellStart"/>
            <w:r>
              <w:rPr>
                <w:sz w:val="20"/>
                <w:szCs w:val="20"/>
              </w:rPr>
              <w:t>არსებობის</w:t>
            </w:r>
            <w:proofErr w:type="spellEnd"/>
            <w:r>
              <w:rPr>
                <w:sz w:val="20"/>
                <w:szCs w:val="20"/>
              </w:rPr>
              <w:t xml:space="preserve"> </w:t>
            </w:r>
            <w:proofErr w:type="spellStart"/>
            <w:r>
              <w:rPr>
                <w:sz w:val="20"/>
                <w:szCs w:val="20"/>
              </w:rPr>
              <w:t>მიზეზია</w:t>
            </w:r>
            <w:proofErr w:type="spellEnd"/>
            <w:r>
              <w:rPr>
                <w:sz w:val="20"/>
                <w:szCs w:val="20"/>
              </w:rPr>
              <w:t xml:space="preserve"> </w:t>
            </w:r>
            <w:proofErr w:type="spellStart"/>
            <w:r>
              <w:rPr>
                <w:sz w:val="20"/>
                <w:szCs w:val="20"/>
              </w:rPr>
              <w:t>დუბლირების</w:t>
            </w:r>
            <w:proofErr w:type="spellEnd"/>
            <w:r>
              <w:rPr>
                <w:sz w:val="20"/>
                <w:szCs w:val="20"/>
              </w:rPr>
              <w:t xml:space="preserve"> </w:t>
            </w:r>
            <w:proofErr w:type="spellStart"/>
            <w:r>
              <w:rPr>
                <w:sz w:val="20"/>
                <w:szCs w:val="20"/>
              </w:rPr>
              <w:t>თავიდან</w:t>
            </w:r>
            <w:proofErr w:type="spellEnd"/>
            <w:r>
              <w:rPr>
                <w:sz w:val="20"/>
                <w:szCs w:val="20"/>
              </w:rPr>
              <w:t xml:space="preserve"> </w:t>
            </w:r>
            <w:proofErr w:type="spellStart"/>
            <w:r>
              <w:rPr>
                <w:sz w:val="20"/>
                <w:szCs w:val="20"/>
              </w:rPr>
              <w:t>აცილება</w:t>
            </w:r>
            <w:proofErr w:type="spellEnd"/>
            <w:r>
              <w:rPr>
                <w:sz w:val="20"/>
                <w:szCs w:val="20"/>
              </w:rPr>
              <w:t xml:space="preserve">, </w:t>
            </w:r>
            <w:proofErr w:type="spellStart"/>
            <w:r>
              <w:rPr>
                <w:sz w:val="20"/>
                <w:szCs w:val="20"/>
              </w:rPr>
              <w:t>რადგან</w:t>
            </w:r>
            <w:proofErr w:type="spellEnd"/>
            <w:r>
              <w:rPr>
                <w:sz w:val="20"/>
                <w:szCs w:val="20"/>
              </w:rPr>
              <w:t xml:space="preserve"> </w:t>
            </w:r>
            <w:proofErr w:type="spellStart"/>
            <w:r>
              <w:rPr>
                <w:sz w:val="20"/>
                <w:szCs w:val="20"/>
              </w:rPr>
              <w:t>მოცემული</w:t>
            </w:r>
            <w:proofErr w:type="spellEnd"/>
            <w:r>
              <w:rPr>
                <w:sz w:val="20"/>
                <w:szCs w:val="20"/>
              </w:rPr>
              <w:t xml:space="preserve"> </w:t>
            </w:r>
            <w:proofErr w:type="spellStart"/>
            <w:r>
              <w:rPr>
                <w:sz w:val="20"/>
                <w:szCs w:val="20"/>
              </w:rPr>
              <w:t>საკითხი</w:t>
            </w:r>
            <w:proofErr w:type="spellEnd"/>
            <w:r w:rsidR="005623D7">
              <w:rPr>
                <w:sz w:val="20"/>
                <w:szCs w:val="20"/>
              </w:rPr>
              <w:t xml:space="preserve">, </w:t>
            </w:r>
            <w:proofErr w:type="spellStart"/>
            <w:r>
              <w:rPr>
                <w:sz w:val="20"/>
                <w:szCs w:val="20"/>
              </w:rPr>
              <w:t>ისევე</w:t>
            </w:r>
            <w:proofErr w:type="spellEnd"/>
            <w:r>
              <w:rPr>
                <w:sz w:val="20"/>
                <w:szCs w:val="20"/>
              </w:rPr>
              <w:t xml:space="preserve">, </w:t>
            </w:r>
            <w:proofErr w:type="spellStart"/>
            <w:r>
              <w:rPr>
                <w:sz w:val="20"/>
                <w:szCs w:val="20"/>
              </w:rPr>
              <w:t>როგორც</w:t>
            </w:r>
            <w:proofErr w:type="spellEnd"/>
            <w:r>
              <w:rPr>
                <w:sz w:val="20"/>
                <w:szCs w:val="20"/>
              </w:rPr>
              <w:t xml:space="preserve"> </w:t>
            </w:r>
            <w:proofErr w:type="spellStart"/>
            <w:r>
              <w:rPr>
                <w:sz w:val="20"/>
                <w:szCs w:val="20"/>
              </w:rPr>
              <w:t>ეკო-მიგრაცია</w:t>
            </w:r>
            <w:proofErr w:type="spellEnd"/>
            <w:r w:rsidR="005623D7">
              <w:rPr>
                <w:sz w:val="20"/>
                <w:szCs w:val="20"/>
              </w:rPr>
              <w:t xml:space="preserve"> </w:t>
            </w:r>
            <w:r w:rsidR="005623D7">
              <w:rPr>
                <w:sz w:val="20"/>
                <w:szCs w:val="20"/>
                <w:lang w:val="ka-GE"/>
              </w:rPr>
              <w:t>და ეკო-მიგრანტები</w:t>
            </w:r>
            <w:r>
              <w:rPr>
                <w:sz w:val="20"/>
                <w:szCs w:val="20"/>
              </w:rPr>
              <w:t xml:space="preserve"> </w:t>
            </w:r>
            <w:r w:rsidR="005623D7">
              <w:rPr>
                <w:sz w:val="20"/>
                <w:szCs w:val="20"/>
                <w:lang w:val="ka-GE"/>
              </w:rPr>
              <w:t>(</w:t>
            </w:r>
            <w:proofErr w:type="spellStart"/>
            <w:r>
              <w:rPr>
                <w:sz w:val="20"/>
                <w:szCs w:val="20"/>
              </w:rPr>
              <w:t>ჩვენ</w:t>
            </w:r>
            <w:proofErr w:type="spellEnd"/>
            <w:r>
              <w:rPr>
                <w:sz w:val="20"/>
                <w:szCs w:val="20"/>
              </w:rPr>
              <w:t xml:space="preserve"> </w:t>
            </w:r>
            <w:proofErr w:type="spellStart"/>
            <w:r>
              <w:rPr>
                <w:sz w:val="20"/>
                <w:szCs w:val="20"/>
              </w:rPr>
              <w:t>შემთხვევაში</w:t>
            </w:r>
            <w:proofErr w:type="spellEnd"/>
            <w:r>
              <w:rPr>
                <w:sz w:val="20"/>
                <w:szCs w:val="20"/>
              </w:rPr>
              <w:t xml:space="preserve"> </w:t>
            </w:r>
            <w:proofErr w:type="spellStart"/>
            <w:r>
              <w:rPr>
                <w:sz w:val="20"/>
                <w:szCs w:val="20"/>
              </w:rPr>
              <w:t>ძირითადად</w:t>
            </w:r>
            <w:proofErr w:type="spellEnd"/>
            <w:r>
              <w:rPr>
                <w:sz w:val="20"/>
                <w:szCs w:val="20"/>
              </w:rPr>
              <w:t xml:space="preserve"> </w:t>
            </w:r>
            <w:proofErr w:type="spellStart"/>
            <w:r>
              <w:rPr>
                <w:sz w:val="20"/>
                <w:szCs w:val="20"/>
              </w:rPr>
              <w:t>ქვეყნის</w:t>
            </w:r>
            <w:proofErr w:type="spellEnd"/>
            <w:r>
              <w:rPr>
                <w:sz w:val="20"/>
                <w:szCs w:val="20"/>
              </w:rPr>
              <w:t xml:space="preserve"> </w:t>
            </w:r>
            <w:proofErr w:type="spellStart"/>
            <w:r>
              <w:rPr>
                <w:sz w:val="20"/>
                <w:szCs w:val="20"/>
              </w:rPr>
              <w:t>შიგნით</w:t>
            </w:r>
            <w:proofErr w:type="spellEnd"/>
            <w:r>
              <w:rPr>
                <w:sz w:val="20"/>
                <w:szCs w:val="20"/>
              </w:rPr>
              <w:t xml:space="preserve"> </w:t>
            </w:r>
            <w:proofErr w:type="spellStart"/>
            <w:r>
              <w:rPr>
                <w:sz w:val="20"/>
                <w:szCs w:val="20"/>
              </w:rPr>
              <w:t>მიგრაციის</w:t>
            </w:r>
            <w:proofErr w:type="spellEnd"/>
            <w:r>
              <w:rPr>
                <w:sz w:val="20"/>
                <w:szCs w:val="20"/>
              </w:rPr>
              <w:t xml:space="preserve"> </w:t>
            </w:r>
            <w:proofErr w:type="spellStart"/>
            <w:r>
              <w:rPr>
                <w:sz w:val="20"/>
                <w:szCs w:val="20"/>
              </w:rPr>
              <w:t>ნაწილია</w:t>
            </w:r>
            <w:proofErr w:type="spellEnd"/>
            <w:r>
              <w:rPr>
                <w:sz w:val="20"/>
                <w:szCs w:val="20"/>
              </w:rPr>
              <w:t xml:space="preserve"> </w:t>
            </w:r>
            <w:proofErr w:type="spellStart"/>
            <w:r>
              <w:rPr>
                <w:sz w:val="20"/>
                <w:szCs w:val="20"/>
              </w:rPr>
              <w:t>და</w:t>
            </w:r>
            <w:proofErr w:type="spellEnd"/>
            <w:r>
              <w:rPr>
                <w:sz w:val="20"/>
                <w:szCs w:val="20"/>
              </w:rPr>
              <w:t xml:space="preserve"> </w:t>
            </w:r>
            <w:proofErr w:type="spellStart"/>
            <w:r>
              <w:rPr>
                <w:sz w:val="20"/>
                <w:szCs w:val="20"/>
              </w:rPr>
              <w:t>ამიტომაც</w:t>
            </w:r>
            <w:proofErr w:type="spellEnd"/>
            <w:r>
              <w:rPr>
                <w:sz w:val="20"/>
                <w:szCs w:val="20"/>
              </w:rPr>
              <w:t xml:space="preserve"> </w:t>
            </w:r>
            <w:proofErr w:type="spellStart"/>
            <w:r>
              <w:rPr>
                <w:sz w:val="20"/>
                <w:szCs w:val="20"/>
              </w:rPr>
              <w:t>მიზანმიმართულად</w:t>
            </w:r>
            <w:proofErr w:type="spellEnd"/>
            <w:r>
              <w:rPr>
                <w:sz w:val="20"/>
                <w:szCs w:val="20"/>
              </w:rPr>
              <w:t xml:space="preserve"> </w:t>
            </w:r>
            <w:proofErr w:type="spellStart"/>
            <w:r>
              <w:rPr>
                <w:sz w:val="20"/>
                <w:szCs w:val="20"/>
              </w:rPr>
              <w:t>არ</w:t>
            </w:r>
            <w:proofErr w:type="spellEnd"/>
            <w:r>
              <w:rPr>
                <w:sz w:val="20"/>
                <w:szCs w:val="20"/>
              </w:rPr>
              <w:t xml:space="preserve"> </w:t>
            </w:r>
            <w:proofErr w:type="spellStart"/>
            <w:r>
              <w:rPr>
                <w:sz w:val="20"/>
                <w:szCs w:val="20"/>
              </w:rPr>
              <w:t>ვაერთიანებთ</w:t>
            </w:r>
            <w:proofErr w:type="spellEnd"/>
            <w:r>
              <w:rPr>
                <w:sz w:val="20"/>
                <w:szCs w:val="20"/>
              </w:rPr>
              <w:t xml:space="preserve"> </w:t>
            </w:r>
            <w:proofErr w:type="spellStart"/>
            <w:r>
              <w:rPr>
                <w:sz w:val="20"/>
                <w:szCs w:val="20"/>
              </w:rPr>
              <w:t>საერთაშორისო</w:t>
            </w:r>
            <w:proofErr w:type="spellEnd"/>
            <w:r>
              <w:rPr>
                <w:sz w:val="20"/>
                <w:szCs w:val="20"/>
              </w:rPr>
              <w:t xml:space="preserve"> </w:t>
            </w:r>
            <w:proofErr w:type="spellStart"/>
            <w:r>
              <w:rPr>
                <w:sz w:val="20"/>
                <w:szCs w:val="20"/>
              </w:rPr>
              <w:t>მიგრაციასთან</w:t>
            </w:r>
            <w:proofErr w:type="spellEnd"/>
            <w:r w:rsidR="005623D7">
              <w:rPr>
                <w:sz w:val="20"/>
                <w:szCs w:val="20"/>
              </w:rPr>
              <w:t>)</w:t>
            </w:r>
            <w:bookmarkStart w:id="0" w:name="_GoBack"/>
            <w:bookmarkEnd w:id="0"/>
            <w:r>
              <w:rPr>
                <w:sz w:val="20"/>
                <w:szCs w:val="20"/>
              </w:rPr>
              <w:t xml:space="preserve"> </w:t>
            </w:r>
            <w:proofErr w:type="spellStart"/>
            <w:r>
              <w:rPr>
                <w:sz w:val="20"/>
                <w:szCs w:val="20"/>
              </w:rPr>
              <w:t>ადამიანის</w:t>
            </w:r>
            <w:proofErr w:type="spellEnd"/>
            <w:r>
              <w:rPr>
                <w:sz w:val="20"/>
                <w:szCs w:val="20"/>
              </w:rPr>
              <w:t xml:space="preserve"> </w:t>
            </w:r>
            <w:proofErr w:type="spellStart"/>
            <w:r>
              <w:rPr>
                <w:sz w:val="20"/>
                <w:szCs w:val="20"/>
              </w:rPr>
              <w:t>უფლებათა</w:t>
            </w:r>
            <w:proofErr w:type="spellEnd"/>
            <w:r>
              <w:rPr>
                <w:sz w:val="20"/>
                <w:szCs w:val="20"/>
              </w:rPr>
              <w:t xml:space="preserve"> </w:t>
            </w:r>
            <w:proofErr w:type="spellStart"/>
            <w:r>
              <w:rPr>
                <w:sz w:val="20"/>
                <w:szCs w:val="20"/>
              </w:rPr>
              <w:t>დაცვის</w:t>
            </w:r>
            <w:proofErr w:type="spellEnd"/>
            <w:r>
              <w:rPr>
                <w:sz w:val="20"/>
                <w:szCs w:val="20"/>
              </w:rPr>
              <w:t xml:space="preserve"> </w:t>
            </w:r>
            <w:proofErr w:type="spellStart"/>
            <w:r>
              <w:rPr>
                <w:sz w:val="20"/>
                <w:szCs w:val="20"/>
              </w:rPr>
              <w:t>ეროვნული</w:t>
            </w:r>
            <w:proofErr w:type="spellEnd"/>
            <w:r>
              <w:rPr>
                <w:sz w:val="20"/>
                <w:szCs w:val="20"/>
              </w:rPr>
              <w:t xml:space="preserve"> </w:t>
            </w:r>
            <w:proofErr w:type="spellStart"/>
            <w:r>
              <w:rPr>
                <w:sz w:val="20"/>
                <w:szCs w:val="20"/>
              </w:rPr>
              <w:t>სტრატეგიის</w:t>
            </w:r>
            <w:proofErr w:type="spellEnd"/>
            <w:r>
              <w:rPr>
                <w:sz w:val="20"/>
                <w:szCs w:val="20"/>
              </w:rPr>
              <w:t xml:space="preserve"> </w:t>
            </w:r>
            <w:proofErr w:type="spellStart"/>
            <w:r>
              <w:rPr>
                <w:sz w:val="20"/>
                <w:szCs w:val="20"/>
              </w:rPr>
              <w:t>თემაა</w:t>
            </w:r>
            <w:proofErr w:type="spellEnd"/>
            <w:r>
              <w:rPr>
                <w:sz w:val="20"/>
                <w:szCs w:val="20"/>
              </w:rPr>
              <w:t xml:space="preserve">, </w:t>
            </w:r>
            <w:proofErr w:type="spellStart"/>
            <w:r>
              <w:rPr>
                <w:sz w:val="20"/>
                <w:szCs w:val="20"/>
              </w:rPr>
              <w:t>რომელიც</w:t>
            </w:r>
            <w:proofErr w:type="spellEnd"/>
            <w:r>
              <w:rPr>
                <w:sz w:val="20"/>
                <w:szCs w:val="20"/>
              </w:rPr>
              <w:t xml:space="preserve"> </w:t>
            </w:r>
            <w:proofErr w:type="spellStart"/>
            <w:r>
              <w:rPr>
                <w:sz w:val="20"/>
                <w:szCs w:val="20"/>
              </w:rPr>
              <w:t>შემუშავების</w:t>
            </w:r>
            <w:proofErr w:type="spellEnd"/>
            <w:r>
              <w:rPr>
                <w:sz w:val="20"/>
                <w:szCs w:val="20"/>
              </w:rPr>
              <w:t xml:space="preserve"> </w:t>
            </w:r>
            <w:proofErr w:type="spellStart"/>
            <w:r>
              <w:rPr>
                <w:sz w:val="20"/>
                <w:szCs w:val="20"/>
              </w:rPr>
              <w:t>დამასრულებელ</w:t>
            </w:r>
            <w:proofErr w:type="spellEnd"/>
            <w:r>
              <w:rPr>
                <w:sz w:val="20"/>
                <w:szCs w:val="20"/>
              </w:rPr>
              <w:t xml:space="preserve"> </w:t>
            </w:r>
            <w:proofErr w:type="spellStart"/>
            <w:r>
              <w:rPr>
                <w:sz w:val="20"/>
                <w:szCs w:val="20"/>
              </w:rPr>
              <w:t>ფაზაშია</w:t>
            </w:r>
            <w:proofErr w:type="spellEnd"/>
            <w:r>
              <w:rPr>
                <w:sz w:val="20"/>
                <w:szCs w:val="20"/>
              </w:rPr>
              <w:t xml:space="preserve"> </w:t>
            </w:r>
            <w:proofErr w:type="spellStart"/>
            <w:r>
              <w:rPr>
                <w:sz w:val="20"/>
                <w:szCs w:val="20"/>
              </w:rPr>
              <w:t>და</w:t>
            </w:r>
            <w:proofErr w:type="spellEnd"/>
            <w:r>
              <w:rPr>
                <w:sz w:val="20"/>
                <w:szCs w:val="20"/>
              </w:rPr>
              <w:t xml:space="preserve"> </w:t>
            </w:r>
            <w:proofErr w:type="spellStart"/>
            <w:r>
              <w:rPr>
                <w:sz w:val="20"/>
                <w:szCs w:val="20"/>
              </w:rPr>
              <w:t>იგივე</w:t>
            </w:r>
            <w:proofErr w:type="spellEnd"/>
            <w:r>
              <w:rPr>
                <w:sz w:val="20"/>
                <w:szCs w:val="20"/>
              </w:rPr>
              <w:t xml:space="preserve"> </w:t>
            </w:r>
            <w:proofErr w:type="spellStart"/>
            <w:r>
              <w:rPr>
                <w:sz w:val="20"/>
                <w:szCs w:val="20"/>
              </w:rPr>
              <w:t>პერიოდს</w:t>
            </w:r>
            <w:proofErr w:type="spellEnd"/>
            <w:r>
              <w:rPr>
                <w:sz w:val="20"/>
                <w:szCs w:val="20"/>
              </w:rPr>
              <w:t xml:space="preserve"> </w:t>
            </w:r>
            <w:proofErr w:type="spellStart"/>
            <w:r>
              <w:rPr>
                <w:sz w:val="20"/>
                <w:szCs w:val="20"/>
              </w:rPr>
              <w:t>მოიცავს</w:t>
            </w:r>
            <w:proofErr w:type="spellEnd"/>
            <w:r>
              <w:rPr>
                <w:sz w:val="20"/>
                <w:szCs w:val="20"/>
              </w:rPr>
              <w:t xml:space="preserve">, </w:t>
            </w:r>
            <w:proofErr w:type="spellStart"/>
            <w:r>
              <w:rPr>
                <w:sz w:val="20"/>
                <w:szCs w:val="20"/>
              </w:rPr>
              <w:t>რაც</w:t>
            </w:r>
            <w:proofErr w:type="spellEnd"/>
            <w:r>
              <w:rPr>
                <w:sz w:val="20"/>
                <w:szCs w:val="20"/>
              </w:rPr>
              <w:t xml:space="preserve"> </w:t>
            </w:r>
            <w:proofErr w:type="spellStart"/>
            <w:r>
              <w:rPr>
                <w:sz w:val="20"/>
                <w:szCs w:val="20"/>
              </w:rPr>
              <w:t>მოცემული</w:t>
            </w:r>
            <w:proofErr w:type="spellEnd"/>
            <w:r>
              <w:rPr>
                <w:sz w:val="20"/>
                <w:szCs w:val="20"/>
              </w:rPr>
              <w:t xml:space="preserve"> </w:t>
            </w:r>
            <w:proofErr w:type="spellStart"/>
            <w:r>
              <w:rPr>
                <w:sz w:val="20"/>
                <w:szCs w:val="20"/>
              </w:rPr>
              <w:t>სტრატეგია</w:t>
            </w:r>
            <w:proofErr w:type="spellEnd"/>
            <w:r>
              <w:rPr>
                <w:sz w:val="20"/>
                <w:szCs w:val="20"/>
              </w:rPr>
              <w:t xml:space="preserve"> (2021-2030 </w:t>
            </w:r>
            <w:proofErr w:type="spellStart"/>
            <w:r>
              <w:rPr>
                <w:sz w:val="20"/>
                <w:szCs w:val="20"/>
              </w:rPr>
              <w:t>წწ</w:t>
            </w:r>
            <w:proofErr w:type="spellEnd"/>
            <w:r>
              <w:rPr>
                <w:sz w:val="20"/>
                <w:szCs w:val="20"/>
              </w:rPr>
              <w:t>.).</w:t>
            </w:r>
          </w:p>
          <w:p w:rsidR="004A3503" w:rsidRDefault="004A3503" w:rsidP="00C85007">
            <w:pPr>
              <w:jc w:val="both"/>
              <w:rPr>
                <w:sz w:val="20"/>
                <w:szCs w:val="20"/>
                <w:lang w:val="ka-GE"/>
              </w:rPr>
            </w:pPr>
          </w:p>
          <w:p w:rsidR="00EC0B74" w:rsidRDefault="00EC0B74" w:rsidP="00C85007">
            <w:pPr>
              <w:jc w:val="both"/>
              <w:rPr>
                <w:sz w:val="20"/>
                <w:szCs w:val="20"/>
              </w:rPr>
            </w:pPr>
            <w:r>
              <w:rPr>
                <w:sz w:val="20"/>
                <w:szCs w:val="20"/>
              </w:rPr>
              <w:t xml:space="preserve">As for the climate change, it had not been revealed so far in any of research as the push-factor for the immigration to Georgia. However, bearing in mind the long-term nature of </w:t>
            </w:r>
            <w:r>
              <w:rPr>
                <w:sz w:val="20"/>
                <w:szCs w:val="20"/>
              </w:rPr>
              <w:lastRenderedPageBreak/>
              <w:t>the document and the non-predictability of the natural processes, this issue is something to be dealt with risk analysis des</w:t>
            </w:r>
            <w:r w:rsidR="000316F6">
              <w:rPr>
                <w:sz w:val="20"/>
                <w:szCs w:val="20"/>
              </w:rPr>
              <w:t>cribed in detail in the strategy</w:t>
            </w:r>
            <w:r>
              <w:rPr>
                <w:sz w:val="20"/>
                <w:szCs w:val="20"/>
              </w:rPr>
              <w:t>.</w:t>
            </w:r>
          </w:p>
          <w:p w:rsidR="00EC0B74" w:rsidRPr="00EC0B74" w:rsidRDefault="00EC0B74" w:rsidP="00C85007">
            <w:pPr>
              <w:jc w:val="both"/>
              <w:rPr>
                <w:sz w:val="20"/>
                <w:szCs w:val="20"/>
              </w:rPr>
            </w:pPr>
            <w:r>
              <w:rPr>
                <w:sz w:val="20"/>
                <w:szCs w:val="20"/>
              </w:rPr>
              <w:t xml:space="preserve">  </w:t>
            </w:r>
          </w:p>
          <w:p w:rsidR="005361AA" w:rsidRPr="005361AA" w:rsidRDefault="00C85007" w:rsidP="002B1218">
            <w:pPr>
              <w:jc w:val="both"/>
              <w:rPr>
                <w:sz w:val="20"/>
                <w:szCs w:val="20"/>
                <w:lang w:val="ka-GE"/>
              </w:rPr>
            </w:pPr>
            <w:r>
              <w:rPr>
                <w:sz w:val="20"/>
                <w:szCs w:val="20"/>
                <w:lang w:val="ka-GE"/>
              </w:rPr>
              <w:t>კლიმატის ცვლილება</w:t>
            </w:r>
            <w:r w:rsidR="004A3503">
              <w:rPr>
                <w:sz w:val="20"/>
                <w:szCs w:val="20"/>
                <w:lang w:val="ka-GE"/>
              </w:rPr>
              <w:t>ს რაც შეეხება</w:t>
            </w:r>
            <w:r>
              <w:rPr>
                <w:sz w:val="20"/>
                <w:szCs w:val="20"/>
                <w:lang w:val="ka-GE"/>
              </w:rPr>
              <w:t>, საქართველოში იმიგრაციის მამოძრავებელ ფაქტორად არცერთი კვლევით არ გამოკვეთილა</w:t>
            </w:r>
            <w:r w:rsidR="00EC0B74">
              <w:rPr>
                <w:sz w:val="20"/>
                <w:szCs w:val="20"/>
              </w:rPr>
              <w:t xml:space="preserve">. </w:t>
            </w:r>
            <w:r w:rsidR="00EC0B74">
              <w:rPr>
                <w:sz w:val="20"/>
                <w:szCs w:val="20"/>
                <w:lang w:val="ka-GE"/>
              </w:rPr>
              <w:t xml:space="preserve">თუმცა სტრატეგიის გრძელვადიან პერიოდისა და ბუნებრივი მოვლენების ზუსტად განსაზღვრის შესაძლებლობის არქონის გათვალისწინებით ამ საკითხზე </w:t>
            </w:r>
            <w:r w:rsidR="0026081F">
              <w:rPr>
                <w:sz w:val="20"/>
                <w:szCs w:val="20"/>
                <w:lang w:val="ka-GE"/>
              </w:rPr>
              <w:t>მსჯელობა არის რისკების ანალიზის თემა, რაც ამ სტრატეგიაში დეტალურადაა დახასიათებული.</w:t>
            </w:r>
          </w:p>
          <w:p w:rsidR="002B1218" w:rsidRPr="005361AA" w:rsidRDefault="002B1218" w:rsidP="002B1218">
            <w:pPr>
              <w:jc w:val="both"/>
              <w:rPr>
                <w:b/>
                <w:sz w:val="20"/>
                <w:szCs w:val="20"/>
              </w:rPr>
            </w:pPr>
            <w:r w:rsidRPr="002B1218">
              <w:rPr>
                <w:b/>
                <w:color w:val="FF0000"/>
                <w:sz w:val="20"/>
                <w:szCs w:val="20"/>
                <w:lang w:val="ka-GE"/>
              </w:rPr>
              <w:t>შსს</w:t>
            </w:r>
            <w:r w:rsidR="00D34B66">
              <w:rPr>
                <w:b/>
                <w:color w:val="FF0000"/>
                <w:sz w:val="20"/>
                <w:szCs w:val="20"/>
              </w:rPr>
              <w:t>/</w:t>
            </w:r>
            <w:proofErr w:type="spellStart"/>
            <w:r w:rsidR="00D34B66">
              <w:rPr>
                <w:b/>
                <w:color w:val="FF0000"/>
                <w:sz w:val="20"/>
                <w:szCs w:val="20"/>
              </w:rPr>
              <w:t>ჯანდაცვა</w:t>
            </w:r>
            <w:proofErr w:type="spellEnd"/>
            <w:r w:rsidR="005361AA">
              <w:rPr>
                <w:b/>
                <w:color w:val="FF0000"/>
                <w:sz w:val="20"/>
                <w:szCs w:val="20"/>
              </w:rPr>
              <w:t>???</w:t>
            </w:r>
          </w:p>
        </w:tc>
        <w:tc>
          <w:tcPr>
            <w:tcW w:w="1980" w:type="dxa"/>
          </w:tcPr>
          <w:p w:rsidR="00476EA6" w:rsidRDefault="00476EA6" w:rsidP="00476EA6">
            <w:pPr>
              <w:jc w:val="center"/>
              <w:rPr>
                <w:b/>
                <w:lang w:val="ka-GE"/>
              </w:rPr>
            </w:pPr>
          </w:p>
        </w:tc>
      </w:tr>
      <w:tr w:rsidR="00476EA6" w:rsidRPr="00DA3554" w:rsidTr="004F403F">
        <w:trPr>
          <w:trHeight w:val="1808"/>
        </w:trPr>
        <w:tc>
          <w:tcPr>
            <w:tcW w:w="2610" w:type="dxa"/>
          </w:tcPr>
          <w:p w:rsidR="00476EA6" w:rsidRDefault="00476EA6" w:rsidP="00476EA6">
            <w:pPr>
              <w:jc w:val="center"/>
              <w:rPr>
                <w:sz w:val="20"/>
                <w:szCs w:val="20"/>
                <w:lang w:val="ka-GE"/>
              </w:rPr>
            </w:pPr>
            <w:r>
              <w:rPr>
                <w:sz w:val="20"/>
                <w:szCs w:val="20"/>
                <w:lang w:val="ka-GE"/>
              </w:rPr>
              <w:t>მიგრაციის მართვის გაუმჯობესება</w:t>
            </w:r>
          </w:p>
          <w:p w:rsidR="00223BC2" w:rsidRPr="00DA3554" w:rsidRDefault="00223BC2" w:rsidP="00476EA6">
            <w:pPr>
              <w:jc w:val="center"/>
              <w:rPr>
                <w:sz w:val="20"/>
                <w:szCs w:val="20"/>
                <w:lang w:val="ka-GE"/>
              </w:rPr>
            </w:pPr>
            <w:proofErr w:type="spellStart"/>
            <w:r w:rsidRPr="00223BC2">
              <w:rPr>
                <w:sz w:val="20"/>
                <w:szCs w:val="20"/>
                <w:lang w:val="ka-GE"/>
              </w:rPr>
              <w:t>Improvement</w:t>
            </w:r>
            <w:proofErr w:type="spellEnd"/>
            <w:r w:rsidRPr="00223BC2">
              <w:rPr>
                <w:sz w:val="20"/>
                <w:szCs w:val="20"/>
                <w:lang w:val="ka-GE"/>
              </w:rPr>
              <w:t xml:space="preserve"> of </w:t>
            </w:r>
            <w:proofErr w:type="spellStart"/>
            <w:r w:rsidRPr="00223BC2">
              <w:rPr>
                <w:sz w:val="20"/>
                <w:szCs w:val="20"/>
                <w:lang w:val="ka-GE"/>
              </w:rPr>
              <w:t>migration</w:t>
            </w:r>
            <w:proofErr w:type="spellEnd"/>
            <w:r w:rsidRPr="00223BC2">
              <w:rPr>
                <w:sz w:val="20"/>
                <w:szCs w:val="20"/>
                <w:lang w:val="ka-GE"/>
              </w:rPr>
              <w:t xml:space="preserve"> </w:t>
            </w:r>
            <w:proofErr w:type="spellStart"/>
            <w:r w:rsidRPr="00223BC2">
              <w:rPr>
                <w:sz w:val="20"/>
                <w:szCs w:val="20"/>
                <w:lang w:val="ka-GE"/>
              </w:rPr>
              <w:t>management</w:t>
            </w:r>
            <w:proofErr w:type="spellEnd"/>
          </w:p>
        </w:tc>
        <w:tc>
          <w:tcPr>
            <w:tcW w:w="5310" w:type="dxa"/>
          </w:tcPr>
          <w:p w:rsidR="00476EA6" w:rsidRPr="00DA3554" w:rsidRDefault="00142D7F" w:rsidP="004F403F">
            <w:pPr>
              <w:pStyle w:val="ListParagraph"/>
              <w:numPr>
                <w:ilvl w:val="0"/>
                <w:numId w:val="1"/>
              </w:numPr>
              <w:ind w:left="0"/>
              <w:jc w:val="both"/>
              <w:rPr>
                <w:sz w:val="20"/>
                <w:szCs w:val="20"/>
              </w:rPr>
            </w:pPr>
            <w:r w:rsidRPr="00142D7F">
              <w:rPr>
                <w:rFonts w:ascii="Sylfaen" w:hAnsi="Sylfaen"/>
                <w:sz w:val="20"/>
                <w:szCs w:val="20"/>
                <w:lang w:val="en-GB"/>
              </w:rPr>
              <w:t xml:space="preserve">1. We acknowledge and welcome the fact that the strategy takes into account to a large extent the EU-GE Association Agreement, the Visa Liberalisation Action Plan the Visa Suspension Mechanism report. </w:t>
            </w:r>
            <w:r w:rsidRPr="00142D7F">
              <w:rPr>
                <w:rFonts w:ascii="Sylfaen" w:hAnsi="Sylfaen"/>
                <w:b/>
                <w:sz w:val="20"/>
                <w:szCs w:val="20"/>
                <w:lang w:val="en-GB"/>
              </w:rPr>
              <w:t xml:space="preserve">We would suggest further ensuring that the Strategy is fully in line with the Law on Exit Control and the amendment adopted recently by Parliament to </w:t>
            </w:r>
            <w:proofErr w:type="gramStart"/>
            <w:r w:rsidRPr="00142D7F">
              <w:rPr>
                <w:rFonts w:ascii="Sylfaen" w:hAnsi="Sylfaen"/>
                <w:b/>
                <w:sz w:val="20"/>
                <w:szCs w:val="20"/>
                <w:lang w:val="en-GB"/>
              </w:rPr>
              <w:t>criminalized</w:t>
            </w:r>
            <w:proofErr w:type="gramEnd"/>
            <w:r w:rsidRPr="00142D7F">
              <w:rPr>
                <w:rFonts w:ascii="Sylfaen" w:hAnsi="Sylfaen"/>
                <w:b/>
                <w:sz w:val="20"/>
                <w:szCs w:val="20"/>
                <w:lang w:val="en-GB"/>
              </w:rPr>
              <w:t xml:space="preserve"> the breaches of the visa free regime.</w:t>
            </w:r>
          </w:p>
        </w:tc>
        <w:tc>
          <w:tcPr>
            <w:tcW w:w="5130" w:type="dxa"/>
          </w:tcPr>
          <w:p w:rsidR="00476EA6" w:rsidRPr="005361AA" w:rsidRDefault="00142D7F" w:rsidP="00021E8B">
            <w:pPr>
              <w:rPr>
                <w:color w:val="FF0000"/>
                <w:sz w:val="20"/>
                <w:szCs w:val="20"/>
              </w:rPr>
            </w:pPr>
            <w:r w:rsidRPr="00336AEF">
              <w:rPr>
                <w:b/>
                <w:color w:val="FF0000"/>
                <w:sz w:val="20"/>
                <w:szCs w:val="20"/>
                <w:lang w:val="ka-GE"/>
              </w:rPr>
              <w:t>საგარეო</w:t>
            </w:r>
            <w:r w:rsidR="0015654C" w:rsidRPr="00336AEF">
              <w:rPr>
                <w:b/>
                <w:color w:val="FF0000"/>
                <w:sz w:val="20"/>
                <w:szCs w:val="20"/>
                <w:lang w:val="ka-GE"/>
              </w:rPr>
              <w:t xml:space="preserve"> </w:t>
            </w:r>
            <w:r w:rsidRPr="00336AEF">
              <w:rPr>
                <w:b/>
                <w:color w:val="FF0000"/>
                <w:sz w:val="20"/>
                <w:szCs w:val="20"/>
                <w:lang w:val="ka-GE"/>
              </w:rPr>
              <w:t>/</w:t>
            </w:r>
            <w:r w:rsidR="0015654C" w:rsidRPr="00336AEF">
              <w:rPr>
                <w:b/>
                <w:color w:val="FF0000"/>
                <w:sz w:val="20"/>
                <w:szCs w:val="20"/>
                <w:lang w:val="ka-GE"/>
              </w:rPr>
              <w:t xml:space="preserve"> </w:t>
            </w:r>
            <w:r w:rsidRPr="00336AEF">
              <w:rPr>
                <w:b/>
                <w:color w:val="FF0000"/>
                <w:sz w:val="20"/>
                <w:szCs w:val="20"/>
                <w:lang w:val="ka-GE"/>
              </w:rPr>
              <w:t>შსს</w:t>
            </w:r>
            <w:r w:rsidR="005361AA">
              <w:rPr>
                <w:b/>
                <w:color w:val="FF0000"/>
                <w:sz w:val="20"/>
                <w:szCs w:val="20"/>
              </w:rPr>
              <w:t>???</w:t>
            </w:r>
          </w:p>
          <w:p w:rsidR="004F403F" w:rsidRPr="004F403F" w:rsidRDefault="004F403F" w:rsidP="00021E8B">
            <w:pPr>
              <w:rPr>
                <w:sz w:val="20"/>
                <w:szCs w:val="20"/>
                <w:lang w:val="ka-GE"/>
              </w:rPr>
            </w:pPr>
          </w:p>
        </w:tc>
        <w:tc>
          <w:tcPr>
            <w:tcW w:w="1980" w:type="dxa"/>
          </w:tcPr>
          <w:p w:rsidR="00476EA6" w:rsidRPr="00DA3554" w:rsidRDefault="00476EA6" w:rsidP="00021E8B">
            <w:pPr>
              <w:rPr>
                <w:sz w:val="20"/>
                <w:szCs w:val="20"/>
                <w:lang w:val="ka-GE"/>
              </w:rPr>
            </w:pPr>
          </w:p>
        </w:tc>
      </w:tr>
      <w:tr w:rsidR="00476EA6" w:rsidRPr="00DA3554" w:rsidTr="00B974C5">
        <w:tc>
          <w:tcPr>
            <w:tcW w:w="2610" w:type="dxa"/>
          </w:tcPr>
          <w:p w:rsidR="00476EA6" w:rsidRDefault="00476EA6" w:rsidP="00476EA6">
            <w:pPr>
              <w:jc w:val="center"/>
              <w:rPr>
                <w:sz w:val="20"/>
                <w:szCs w:val="20"/>
                <w:lang w:val="ka-GE"/>
              </w:rPr>
            </w:pPr>
            <w:r w:rsidRPr="00DA3554">
              <w:rPr>
                <w:sz w:val="20"/>
                <w:szCs w:val="20"/>
                <w:lang w:val="ka-GE"/>
              </w:rPr>
              <w:t xml:space="preserve">ლეგალური </w:t>
            </w:r>
            <w:r>
              <w:rPr>
                <w:sz w:val="20"/>
                <w:szCs w:val="20"/>
                <w:lang w:val="ka-GE"/>
              </w:rPr>
              <w:t>მიგრაციის ხელშეწყობა</w:t>
            </w:r>
          </w:p>
          <w:p w:rsidR="00021E8B" w:rsidRPr="00DA3554" w:rsidRDefault="00021E8B" w:rsidP="00476EA6">
            <w:pPr>
              <w:jc w:val="center"/>
              <w:rPr>
                <w:sz w:val="20"/>
                <w:szCs w:val="20"/>
                <w:lang w:val="ka-GE"/>
              </w:rPr>
            </w:pPr>
            <w:proofErr w:type="spellStart"/>
            <w:r w:rsidRPr="00021E8B">
              <w:rPr>
                <w:sz w:val="20"/>
                <w:szCs w:val="20"/>
                <w:lang w:val="ka-GE"/>
              </w:rPr>
              <w:t>Facilitation</w:t>
            </w:r>
            <w:proofErr w:type="spellEnd"/>
            <w:r w:rsidRPr="00021E8B">
              <w:rPr>
                <w:sz w:val="20"/>
                <w:szCs w:val="20"/>
                <w:lang w:val="ka-GE"/>
              </w:rPr>
              <w:t xml:space="preserve"> of </w:t>
            </w:r>
            <w:proofErr w:type="spellStart"/>
            <w:r w:rsidRPr="00021E8B">
              <w:rPr>
                <w:sz w:val="20"/>
                <w:szCs w:val="20"/>
                <w:lang w:val="ka-GE"/>
              </w:rPr>
              <w:t>legal</w:t>
            </w:r>
            <w:proofErr w:type="spellEnd"/>
            <w:r w:rsidRPr="00021E8B">
              <w:rPr>
                <w:sz w:val="20"/>
                <w:szCs w:val="20"/>
                <w:lang w:val="ka-GE"/>
              </w:rPr>
              <w:t xml:space="preserve"> </w:t>
            </w:r>
            <w:proofErr w:type="spellStart"/>
            <w:r w:rsidRPr="00021E8B">
              <w:rPr>
                <w:sz w:val="20"/>
                <w:szCs w:val="20"/>
                <w:lang w:val="ka-GE"/>
              </w:rPr>
              <w:t>migration</w:t>
            </w:r>
            <w:proofErr w:type="spellEnd"/>
          </w:p>
        </w:tc>
        <w:tc>
          <w:tcPr>
            <w:tcW w:w="5310" w:type="dxa"/>
          </w:tcPr>
          <w:p w:rsidR="00142D7F" w:rsidRPr="00142D7F" w:rsidRDefault="00142D7F" w:rsidP="00142D7F">
            <w:pPr>
              <w:pStyle w:val="ListParagraph"/>
              <w:numPr>
                <w:ilvl w:val="0"/>
                <w:numId w:val="1"/>
              </w:numPr>
              <w:ind w:left="0"/>
              <w:jc w:val="both"/>
              <w:rPr>
                <w:rFonts w:ascii="Sylfaen" w:hAnsi="Sylfaen"/>
                <w:sz w:val="20"/>
                <w:szCs w:val="20"/>
                <w:lang w:val="en-GB"/>
              </w:rPr>
            </w:pPr>
            <w:r w:rsidRPr="00142D7F">
              <w:rPr>
                <w:rFonts w:ascii="Sylfaen" w:hAnsi="Sylfaen"/>
                <w:sz w:val="20"/>
                <w:szCs w:val="20"/>
              </w:rPr>
              <w:t xml:space="preserve">1. </w:t>
            </w:r>
            <w:r w:rsidRPr="00142D7F">
              <w:rPr>
                <w:rFonts w:ascii="Sylfaen" w:hAnsi="Sylfaen"/>
                <w:sz w:val="20"/>
                <w:szCs w:val="20"/>
                <w:lang w:val="en-US"/>
              </w:rPr>
              <w:t xml:space="preserve">Moreover, important links are provided with the education system (VET and higher education) as well as </w:t>
            </w:r>
            <w:proofErr w:type="spellStart"/>
            <w:r w:rsidRPr="00142D7F">
              <w:rPr>
                <w:rFonts w:ascii="Sylfaen" w:hAnsi="Sylfaen"/>
                <w:sz w:val="20"/>
                <w:szCs w:val="20"/>
                <w:lang w:val="en-US"/>
              </w:rPr>
              <w:t>labour</w:t>
            </w:r>
            <w:proofErr w:type="spellEnd"/>
            <w:r w:rsidRPr="00142D7F">
              <w:rPr>
                <w:rFonts w:ascii="Sylfaen" w:hAnsi="Sylfaen"/>
                <w:sz w:val="20"/>
                <w:szCs w:val="20"/>
                <w:lang w:val="en-US"/>
              </w:rPr>
              <w:t xml:space="preserve"> market/employment service to develop skills needed for migrating and returning workforce aiming to encourage circular migration and to prevent brain-drain.</w:t>
            </w:r>
          </w:p>
          <w:p w:rsidR="00476EA6" w:rsidRPr="002D61EC" w:rsidRDefault="00142D7F" w:rsidP="002D61EC">
            <w:pPr>
              <w:pStyle w:val="ListParagraph"/>
              <w:numPr>
                <w:ilvl w:val="0"/>
                <w:numId w:val="1"/>
              </w:numPr>
              <w:ind w:left="0"/>
              <w:jc w:val="both"/>
              <w:rPr>
                <w:rFonts w:ascii="Sylfaen" w:hAnsi="Sylfaen"/>
                <w:sz w:val="20"/>
                <w:szCs w:val="20"/>
                <w:lang w:val="en-GB"/>
              </w:rPr>
            </w:pPr>
            <w:r w:rsidRPr="00142D7F">
              <w:rPr>
                <w:rFonts w:ascii="Sylfaen" w:hAnsi="Sylfaen"/>
                <w:sz w:val="20"/>
                <w:szCs w:val="20"/>
                <w:lang w:val="en-US"/>
              </w:rPr>
              <w:t xml:space="preserve">Therefore, under the recent circumstances </w:t>
            </w:r>
            <w:r w:rsidRPr="00142D7F">
              <w:rPr>
                <w:rFonts w:ascii="Sylfaen" w:hAnsi="Sylfaen"/>
                <w:b/>
                <w:sz w:val="20"/>
                <w:szCs w:val="20"/>
                <w:lang w:val="en-US"/>
              </w:rPr>
              <w:t xml:space="preserve">we would suggest making reference to the contribution of </w:t>
            </w:r>
            <w:proofErr w:type="spellStart"/>
            <w:r w:rsidRPr="00142D7F">
              <w:rPr>
                <w:rFonts w:ascii="Sylfaen" w:hAnsi="Sylfaen"/>
                <w:b/>
                <w:sz w:val="20"/>
                <w:szCs w:val="20"/>
                <w:lang w:val="en-US"/>
              </w:rPr>
              <w:t>labour</w:t>
            </w:r>
            <w:proofErr w:type="spellEnd"/>
            <w:r w:rsidRPr="00142D7F">
              <w:rPr>
                <w:rFonts w:ascii="Sylfaen" w:hAnsi="Sylfaen"/>
                <w:b/>
                <w:sz w:val="20"/>
                <w:szCs w:val="20"/>
                <w:lang w:val="en-US"/>
              </w:rPr>
              <w:t xml:space="preserve"> migrants in certain sectors abroad and in Georgia (health, agriculture) to cope with the Covid-19 pandemic. </w:t>
            </w:r>
          </w:p>
        </w:tc>
        <w:tc>
          <w:tcPr>
            <w:tcW w:w="5130" w:type="dxa"/>
          </w:tcPr>
          <w:p w:rsidR="00336AEF" w:rsidRDefault="002D61EC" w:rsidP="00336AEF">
            <w:pPr>
              <w:jc w:val="both"/>
              <w:rPr>
                <w:sz w:val="20"/>
                <w:szCs w:val="20"/>
                <w:lang w:val="ka-GE"/>
              </w:rPr>
            </w:pPr>
            <w:r w:rsidRPr="002D61EC">
              <w:rPr>
                <w:sz w:val="20"/>
                <w:szCs w:val="20"/>
                <w:lang w:val="ka-GE"/>
              </w:rPr>
              <w:t xml:space="preserve">ამაზე </w:t>
            </w:r>
            <w:r w:rsidR="00336AEF">
              <w:rPr>
                <w:sz w:val="20"/>
                <w:szCs w:val="20"/>
                <w:lang w:val="ka-GE"/>
              </w:rPr>
              <w:t xml:space="preserve">ორი სიტყვით </w:t>
            </w:r>
            <w:r w:rsidRPr="002D61EC">
              <w:rPr>
                <w:sz w:val="20"/>
                <w:szCs w:val="20"/>
                <w:lang w:val="ka-GE"/>
              </w:rPr>
              <w:t>შეიძლება რაღაცის დამატება შრომითი მიგრაციის სიტუაციის ანალიზში</w:t>
            </w:r>
            <w:r w:rsidR="00BA6804">
              <w:rPr>
                <w:sz w:val="20"/>
                <w:szCs w:val="20"/>
                <w:lang w:val="ka-GE"/>
              </w:rPr>
              <w:t>.</w:t>
            </w:r>
            <w:r w:rsidRPr="002D61EC">
              <w:rPr>
                <w:sz w:val="20"/>
                <w:szCs w:val="20"/>
                <w:lang w:val="ka-GE"/>
              </w:rPr>
              <w:t xml:space="preserve"> რადგან კვლევები აჩვენებს რომ ევროკავშირში (განსაკუთრებით გერმანიაში) მაგ სექტორებზე დიდი მოთხოვნა იქნება პანდემიის დროს და </w:t>
            </w:r>
            <w:r w:rsidR="006B3FE6">
              <w:rPr>
                <w:sz w:val="20"/>
                <w:szCs w:val="20"/>
                <w:lang w:val="ka-GE"/>
              </w:rPr>
              <w:t xml:space="preserve">მის </w:t>
            </w:r>
            <w:r w:rsidRPr="002D61EC">
              <w:rPr>
                <w:sz w:val="20"/>
                <w:szCs w:val="20"/>
                <w:lang w:val="ka-GE"/>
              </w:rPr>
              <w:t>მერე</w:t>
            </w:r>
            <w:r w:rsidR="006B3FE6">
              <w:rPr>
                <w:sz w:val="20"/>
                <w:szCs w:val="20"/>
                <w:lang w:val="ka-GE"/>
              </w:rPr>
              <w:t>ც</w:t>
            </w:r>
            <w:r w:rsidRPr="002D61EC">
              <w:rPr>
                <w:sz w:val="20"/>
                <w:szCs w:val="20"/>
                <w:lang w:val="ka-GE"/>
              </w:rPr>
              <w:t>.</w:t>
            </w:r>
          </w:p>
          <w:p w:rsidR="00336AEF" w:rsidRDefault="00336AEF" w:rsidP="00336AEF">
            <w:pPr>
              <w:jc w:val="both"/>
              <w:rPr>
                <w:sz w:val="20"/>
                <w:szCs w:val="20"/>
                <w:lang w:val="ka-GE"/>
              </w:rPr>
            </w:pPr>
          </w:p>
          <w:p w:rsidR="00336AEF" w:rsidRPr="005361AA" w:rsidRDefault="00336AEF" w:rsidP="00336AEF">
            <w:pPr>
              <w:jc w:val="both"/>
              <w:rPr>
                <w:b/>
                <w:sz w:val="20"/>
                <w:szCs w:val="20"/>
              </w:rPr>
            </w:pPr>
            <w:r w:rsidRPr="00336AEF">
              <w:rPr>
                <w:b/>
                <w:color w:val="FF0000"/>
                <w:sz w:val="20"/>
                <w:szCs w:val="20"/>
                <w:lang w:val="ka-GE"/>
              </w:rPr>
              <w:t>ჯანდაცვა</w:t>
            </w:r>
            <w:r w:rsidR="005361AA">
              <w:rPr>
                <w:b/>
                <w:color w:val="FF0000"/>
                <w:sz w:val="20"/>
                <w:szCs w:val="20"/>
              </w:rPr>
              <w:t>???</w:t>
            </w:r>
          </w:p>
        </w:tc>
        <w:tc>
          <w:tcPr>
            <w:tcW w:w="1980" w:type="dxa"/>
          </w:tcPr>
          <w:p w:rsidR="00476EA6" w:rsidRPr="00DA3554" w:rsidRDefault="00476EA6" w:rsidP="00021E8B">
            <w:pPr>
              <w:rPr>
                <w:sz w:val="20"/>
                <w:szCs w:val="20"/>
                <w:lang w:val="ka-GE"/>
              </w:rPr>
            </w:pPr>
          </w:p>
        </w:tc>
      </w:tr>
      <w:tr w:rsidR="00476EA6" w:rsidRPr="00DA3554" w:rsidTr="00B974C5">
        <w:tc>
          <w:tcPr>
            <w:tcW w:w="2610" w:type="dxa"/>
          </w:tcPr>
          <w:p w:rsidR="00476EA6" w:rsidRDefault="00476EA6" w:rsidP="00476EA6">
            <w:pPr>
              <w:jc w:val="center"/>
              <w:rPr>
                <w:sz w:val="20"/>
                <w:szCs w:val="20"/>
                <w:lang w:val="ka-GE"/>
              </w:rPr>
            </w:pPr>
            <w:r>
              <w:rPr>
                <w:sz w:val="20"/>
                <w:szCs w:val="20"/>
                <w:lang w:val="ka-GE"/>
              </w:rPr>
              <w:t>არალეგალურ</w:t>
            </w:r>
            <w:r w:rsidRPr="00DA3554">
              <w:rPr>
                <w:sz w:val="20"/>
                <w:szCs w:val="20"/>
                <w:lang w:val="ka-GE"/>
              </w:rPr>
              <w:t xml:space="preserve"> მიგრაცია</w:t>
            </w:r>
            <w:r>
              <w:rPr>
                <w:sz w:val="20"/>
                <w:szCs w:val="20"/>
                <w:lang w:val="ka-GE"/>
              </w:rPr>
              <w:t>სთან ბრძოლა</w:t>
            </w:r>
          </w:p>
          <w:p w:rsidR="00021E8B" w:rsidRPr="00DA3554" w:rsidRDefault="00021E8B" w:rsidP="00476EA6">
            <w:pPr>
              <w:jc w:val="center"/>
              <w:rPr>
                <w:sz w:val="20"/>
                <w:szCs w:val="20"/>
                <w:lang w:val="ka-GE"/>
              </w:rPr>
            </w:pPr>
            <w:proofErr w:type="spellStart"/>
            <w:r w:rsidRPr="00021E8B">
              <w:rPr>
                <w:sz w:val="20"/>
                <w:szCs w:val="20"/>
                <w:lang w:val="ka-GE"/>
              </w:rPr>
              <w:t>Fight</w:t>
            </w:r>
            <w:proofErr w:type="spellEnd"/>
            <w:r w:rsidRPr="00021E8B">
              <w:rPr>
                <w:sz w:val="20"/>
                <w:szCs w:val="20"/>
                <w:lang w:val="ka-GE"/>
              </w:rPr>
              <w:t xml:space="preserve"> </w:t>
            </w:r>
            <w:proofErr w:type="spellStart"/>
            <w:r w:rsidRPr="00021E8B">
              <w:rPr>
                <w:sz w:val="20"/>
                <w:szCs w:val="20"/>
                <w:lang w:val="ka-GE"/>
              </w:rPr>
              <w:t>against</w:t>
            </w:r>
            <w:proofErr w:type="spellEnd"/>
            <w:r w:rsidRPr="00021E8B">
              <w:rPr>
                <w:sz w:val="20"/>
                <w:szCs w:val="20"/>
                <w:lang w:val="ka-GE"/>
              </w:rPr>
              <w:t xml:space="preserve"> </w:t>
            </w:r>
            <w:proofErr w:type="spellStart"/>
            <w:r w:rsidRPr="00021E8B">
              <w:rPr>
                <w:sz w:val="20"/>
                <w:szCs w:val="20"/>
                <w:lang w:val="ka-GE"/>
              </w:rPr>
              <w:t>illegal</w:t>
            </w:r>
            <w:proofErr w:type="spellEnd"/>
            <w:r w:rsidRPr="00021E8B">
              <w:rPr>
                <w:sz w:val="20"/>
                <w:szCs w:val="20"/>
                <w:lang w:val="ka-GE"/>
              </w:rPr>
              <w:t xml:space="preserve"> </w:t>
            </w:r>
            <w:proofErr w:type="spellStart"/>
            <w:r w:rsidRPr="00021E8B">
              <w:rPr>
                <w:sz w:val="20"/>
                <w:szCs w:val="20"/>
                <w:lang w:val="ka-GE"/>
              </w:rPr>
              <w:t>migration</w:t>
            </w:r>
            <w:proofErr w:type="spellEnd"/>
          </w:p>
        </w:tc>
        <w:tc>
          <w:tcPr>
            <w:tcW w:w="5310" w:type="dxa"/>
          </w:tcPr>
          <w:p w:rsidR="00476EA6" w:rsidRPr="003804E9" w:rsidRDefault="0015654C" w:rsidP="00021E8B">
            <w:pPr>
              <w:pStyle w:val="ListParagraph"/>
              <w:numPr>
                <w:ilvl w:val="0"/>
                <w:numId w:val="1"/>
              </w:numPr>
              <w:ind w:left="0"/>
              <w:rPr>
                <w:rFonts w:ascii="Sylfaen" w:hAnsi="Sylfaen"/>
                <w:sz w:val="20"/>
                <w:szCs w:val="20"/>
                <w:lang w:val="en-GB"/>
              </w:rPr>
            </w:pPr>
            <w:r>
              <w:rPr>
                <w:rFonts w:ascii="Sylfaen" w:hAnsi="Sylfaen"/>
                <w:sz w:val="20"/>
                <w:szCs w:val="20"/>
              </w:rPr>
              <w:t xml:space="preserve">1. </w:t>
            </w:r>
            <w:r w:rsidRPr="0015654C">
              <w:rPr>
                <w:rFonts w:ascii="Sylfaen" w:hAnsi="Sylfaen"/>
                <w:sz w:val="20"/>
                <w:szCs w:val="20"/>
                <w:lang w:val="en-US"/>
              </w:rPr>
              <w:t>We also suggest to replace the term “illegal migration”, which is used several times in the document, with the term “irregular migration”.</w:t>
            </w:r>
          </w:p>
        </w:tc>
        <w:tc>
          <w:tcPr>
            <w:tcW w:w="5130" w:type="dxa"/>
          </w:tcPr>
          <w:p w:rsidR="00827188" w:rsidRPr="00827188" w:rsidRDefault="00827188" w:rsidP="00827188">
            <w:pPr>
              <w:rPr>
                <w:sz w:val="20"/>
                <w:szCs w:val="20"/>
              </w:rPr>
            </w:pPr>
            <w:r w:rsidRPr="00827188">
              <w:rPr>
                <w:sz w:val="20"/>
                <w:szCs w:val="20"/>
              </w:rPr>
              <w:t xml:space="preserve">Matter of translation. The Georgian version provides with term officially used in legal practice </w:t>
            </w:r>
            <w:proofErr w:type="gramStart"/>
            <w:r w:rsidRPr="00827188">
              <w:rPr>
                <w:sz w:val="20"/>
                <w:szCs w:val="20"/>
              </w:rPr>
              <w:t>an</w:t>
            </w:r>
            <w:proofErr w:type="gramEnd"/>
            <w:r w:rsidRPr="00827188">
              <w:rPr>
                <w:sz w:val="20"/>
                <w:szCs w:val="20"/>
              </w:rPr>
              <w:t xml:space="preserve"> legislation.</w:t>
            </w:r>
          </w:p>
          <w:p w:rsidR="00476EA6" w:rsidRPr="00827188" w:rsidRDefault="00476EA6" w:rsidP="00021E8B">
            <w:pPr>
              <w:rPr>
                <w:sz w:val="20"/>
                <w:szCs w:val="20"/>
              </w:rPr>
            </w:pPr>
          </w:p>
        </w:tc>
        <w:tc>
          <w:tcPr>
            <w:tcW w:w="1980" w:type="dxa"/>
          </w:tcPr>
          <w:p w:rsidR="00476EA6" w:rsidRPr="00DA3554" w:rsidRDefault="00476EA6" w:rsidP="00021E8B">
            <w:pPr>
              <w:rPr>
                <w:sz w:val="20"/>
                <w:szCs w:val="20"/>
                <w:lang w:val="ka-GE"/>
              </w:rPr>
            </w:pPr>
          </w:p>
        </w:tc>
      </w:tr>
      <w:tr w:rsidR="00476EA6" w:rsidRPr="00DA3554" w:rsidTr="00B974C5">
        <w:tc>
          <w:tcPr>
            <w:tcW w:w="2610" w:type="dxa"/>
          </w:tcPr>
          <w:p w:rsidR="00476EA6" w:rsidRDefault="00476EA6" w:rsidP="00476EA6">
            <w:pPr>
              <w:jc w:val="center"/>
              <w:rPr>
                <w:sz w:val="20"/>
                <w:szCs w:val="20"/>
                <w:lang w:val="ka-GE"/>
              </w:rPr>
            </w:pPr>
            <w:r>
              <w:rPr>
                <w:sz w:val="20"/>
                <w:szCs w:val="20"/>
                <w:lang w:val="ka-GE"/>
              </w:rPr>
              <w:t xml:space="preserve">დაბრუნებულთა </w:t>
            </w:r>
            <w:proofErr w:type="spellStart"/>
            <w:r>
              <w:rPr>
                <w:sz w:val="20"/>
                <w:szCs w:val="20"/>
                <w:lang w:val="ka-GE"/>
              </w:rPr>
              <w:t>რეინტეგრაცია</w:t>
            </w:r>
            <w:proofErr w:type="spellEnd"/>
          </w:p>
          <w:p w:rsidR="00021E8B" w:rsidRPr="00DA3554" w:rsidRDefault="00021E8B" w:rsidP="00476EA6">
            <w:pPr>
              <w:jc w:val="center"/>
              <w:rPr>
                <w:sz w:val="20"/>
                <w:szCs w:val="20"/>
                <w:lang w:val="ka-GE"/>
              </w:rPr>
            </w:pPr>
            <w:proofErr w:type="spellStart"/>
            <w:r w:rsidRPr="00021E8B">
              <w:rPr>
                <w:sz w:val="20"/>
                <w:szCs w:val="20"/>
                <w:lang w:val="ka-GE"/>
              </w:rPr>
              <w:t>Reintegration</w:t>
            </w:r>
            <w:proofErr w:type="spellEnd"/>
            <w:r w:rsidRPr="00021E8B">
              <w:rPr>
                <w:sz w:val="20"/>
                <w:szCs w:val="20"/>
                <w:lang w:val="ka-GE"/>
              </w:rPr>
              <w:t xml:space="preserve"> of </w:t>
            </w:r>
            <w:proofErr w:type="spellStart"/>
            <w:r w:rsidRPr="00021E8B">
              <w:rPr>
                <w:sz w:val="20"/>
                <w:szCs w:val="20"/>
                <w:lang w:val="ka-GE"/>
              </w:rPr>
              <w:t>returned</w:t>
            </w:r>
            <w:proofErr w:type="spellEnd"/>
            <w:r w:rsidRPr="00021E8B">
              <w:rPr>
                <w:sz w:val="20"/>
                <w:szCs w:val="20"/>
                <w:lang w:val="ka-GE"/>
              </w:rPr>
              <w:t xml:space="preserve"> </w:t>
            </w:r>
            <w:proofErr w:type="spellStart"/>
            <w:r w:rsidRPr="00021E8B">
              <w:rPr>
                <w:sz w:val="20"/>
                <w:szCs w:val="20"/>
                <w:lang w:val="ka-GE"/>
              </w:rPr>
              <w:t>migrants</w:t>
            </w:r>
            <w:proofErr w:type="spellEnd"/>
          </w:p>
        </w:tc>
        <w:tc>
          <w:tcPr>
            <w:tcW w:w="5310" w:type="dxa"/>
          </w:tcPr>
          <w:p w:rsidR="00142D7F" w:rsidRPr="003804E9" w:rsidRDefault="00142D7F" w:rsidP="00142D7F">
            <w:pPr>
              <w:pStyle w:val="ListParagraph"/>
              <w:numPr>
                <w:ilvl w:val="0"/>
                <w:numId w:val="1"/>
              </w:numPr>
              <w:ind w:left="0"/>
              <w:jc w:val="both"/>
              <w:rPr>
                <w:rFonts w:ascii="Sylfaen" w:hAnsi="Sylfaen"/>
                <w:sz w:val="20"/>
                <w:szCs w:val="20"/>
                <w:lang w:val="en-GB"/>
              </w:rPr>
            </w:pPr>
            <w:r>
              <w:rPr>
                <w:rFonts w:ascii="Sylfaen" w:hAnsi="Sylfaen"/>
                <w:sz w:val="20"/>
                <w:szCs w:val="20"/>
              </w:rPr>
              <w:t xml:space="preserve">1. </w:t>
            </w:r>
            <w:r w:rsidRPr="00142D7F">
              <w:rPr>
                <w:rFonts w:ascii="Sylfaen" w:hAnsi="Sylfaen"/>
                <w:sz w:val="20"/>
                <w:szCs w:val="20"/>
                <w:lang w:val="en-GB"/>
              </w:rPr>
              <w:t xml:space="preserve">Furthermore, the strategy document is </w:t>
            </w:r>
            <w:r w:rsidRPr="00142D7F">
              <w:rPr>
                <w:rFonts w:ascii="Sylfaen" w:hAnsi="Sylfaen"/>
                <w:sz w:val="20"/>
                <w:szCs w:val="20"/>
                <w:lang w:val="en-US"/>
              </w:rPr>
              <w:t xml:space="preserve">quite comprehensive and balanced. The important topics related to migration policy based on the main challenges in Georgia are included and migration is seen as an opportunity and not as a </w:t>
            </w:r>
            <w:r w:rsidRPr="00142D7F">
              <w:rPr>
                <w:rFonts w:ascii="Sylfaen" w:hAnsi="Sylfaen"/>
                <w:sz w:val="20"/>
                <w:szCs w:val="20"/>
                <w:lang w:val="en-US"/>
              </w:rPr>
              <w:lastRenderedPageBreak/>
              <w:t xml:space="preserve">threat. </w:t>
            </w:r>
            <w:r w:rsidRPr="00142D7F">
              <w:rPr>
                <w:rFonts w:ascii="Sylfaen" w:hAnsi="Sylfaen"/>
                <w:b/>
                <w:sz w:val="20"/>
                <w:szCs w:val="20"/>
                <w:lang w:val="en-US"/>
              </w:rPr>
              <w:t>We also note that focus is given to the regular side of migration, notably as it offers chances of legal migration but this should also be seen to requirements in terms of reintegration efforts.</w:t>
            </w:r>
          </w:p>
          <w:p w:rsidR="00476EA6" w:rsidRPr="002D61EC" w:rsidRDefault="00476EA6" w:rsidP="002D61EC">
            <w:pPr>
              <w:pStyle w:val="ListParagraph"/>
              <w:numPr>
                <w:ilvl w:val="0"/>
                <w:numId w:val="1"/>
              </w:numPr>
              <w:ind w:left="0"/>
              <w:jc w:val="both"/>
              <w:rPr>
                <w:rFonts w:ascii="Sylfaen" w:hAnsi="Sylfaen"/>
                <w:sz w:val="20"/>
                <w:szCs w:val="20"/>
                <w:lang w:val="en-GB"/>
              </w:rPr>
            </w:pPr>
          </w:p>
        </w:tc>
        <w:tc>
          <w:tcPr>
            <w:tcW w:w="5130" w:type="dxa"/>
          </w:tcPr>
          <w:p w:rsidR="002B1218" w:rsidRDefault="008F39C2" w:rsidP="00C02FF5">
            <w:pPr>
              <w:jc w:val="both"/>
              <w:rPr>
                <w:sz w:val="20"/>
                <w:szCs w:val="20"/>
              </w:rPr>
            </w:pPr>
            <w:r>
              <w:rPr>
                <w:sz w:val="20"/>
                <w:szCs w:val="20"/>
              </w:rPr>
              <w:lastRenderedPageBreak/>
              <w:t xml:space="preserve">In the cases of legal labor migration schemes as a necessary element is presented return and reintegration (as described in the indicator of the relevant objective). Meanwhile for those migrants, who returns on the basis of illegal presence </w:t>
            </w:r>
            <w:r>
              <w:rPr>
                <w:sz w:val="20"/>
                <w:szCs w:val="20"/>
              </w:rPr>
              <w:lastRenderedPageBreak/>
              <w:t xml:space="preserve">on other state’s territory, Georgia provides with state reintegration </w:t>
            </w:r>
            <w:proofErr w:type="spellStart"/>
            <w:r>
              <w:rPr>
                <w:sz w:val="20"/>
                <w:szCs w:val="20"/>
              </w:rPr>
              <w:t>programme</w:t>
            </w:r>
            <w:proofErr w:type="spellEnd"/>
            <w:r>
              <w:rPr>
                <w:sz w:val="20"/>
                <w:szCs w:val="20"/>
              </w:rPr>
              <w:t xml:space="preserve">, enlargement and development of which is the one of the objectives of the given strategy. </w:t>
            </w:r>
          </w:p>
          <w:p w:rsidR="008F39C2" w:rsidRPr="008F39C2" w:rsidRDefault="008F39C2" w:rsidP="00C02FF5">
            <w:pPr>
              <w:jc w:val="both"/>
              <w:rPr>
                <w:sz w:val="20"/>
                <w:szCs w:val="20"/>
              </w:rPr>
            </w:pPr>
          </w:p>
          <w:p w:rsidR="002B1218" w:rsidRDefault="00C02FF5" w:rsidP="00C02FF5">
            <w:pPr>
              <w:jc w:val="both"/>
              <w:rPr>
                <w:sz w:val="20"/>
                <w:szCs w:val="20"/>
                <w:lang w:val="ka-GE"/>
              </w:rPr>
            </w:pPr>
            <w:r>
              <w:rPr>
                <w:sz w:val="20"/>
                <w:szCs w:val="20"/>
                <w:lang w:val="ka-GE"/>
              </w:rPr>
              <w:t xml:space="preserve">ლეგალური მიგრაციის სქემებში და შეთანხმებებში აუცილებელი ელემენტია დაბრუნება და </w:t>
            </w:r>
            <w:proofErr w:type="spellStart"/>
            <w:r>
              <w:rPr>
                <w:sz w:val="20"/>
                <w:szCs w:val="20"/>
                <w:lang w:val="ka-GE"/>
              </w:rPr>
              <w:t>რეინტეგრაცია</w:t>
            </w:r>
            <w:proofErr w:type="spellEnd"/>
            <w:r>
              <w:rPr>
                <w:sz w:val="20"/>
                <w:szCs w:val="20"/>
                <w:lang w:val="ka-GE"/>
              </w:rPr>
              <w:t xml:space="preserve"> (შესაბამისი ამოცანის </w:t>
            </w:r>
            <w:proofErr w:type="spellStart"/>
            <w:r>
              <w:rPr>
                <w:sz w:val="20"/>
                <w:szCs w:val="20"/>
                <w:lang w:val="ka-GE"/>
              </w:rPr>
              <w:t>ინდიკატორში</w:t>
            </w:r>
            <w:proofErr w:type="spellEnd"/>
            <w:r>
              <w:rPr>
                <w:sz w:val="20"/>
                <w:szCs w:val="20"/>
                <w:lang w:val="ka-GE"/>
              </w:rPr>
              <w:t xml:space="preserve"> როგორც გვაქვს მითითებული) ხოლო იმ მიგრანტებისთვის ვინც არალეგალური სტატუსით ბრუნდება </w:t>
            </w:r>
            <w:r w:rsidR="00827188">
              <w:rPr>
                <w:sz w:val="20"/>
                <w:szCs w:val="20"/>
                <w:lang w:val="ka-GE"/>
              </w:rPr>
              <w:t xml:space="preserve">საქართველოში </w:t>
            </w:r>
            <w:r>
              <w:rPr>
                <w:sz w:val="20"/>
                <w:szCs w:val="20"/>
                <w:lang w:val="ka-GE"/>
              </w:rPr>
              <w:t xml:space="preserve">მათთვის სახელმწიფო </w:t>
            </w:r>
            <w:proofErr w:type="spellStart"/>
            <w:r>
              <w:rPr>
                <w:sz w:val="20"/>
                <w:szCs w:val="20"/>
                <w:lang w:val="ka-GE"/>
              </w:rPr>
              <w:t>სარეინტეგრაციო</w:t>
            </w:r>
            <w:proofErr w:type="spellEnd"/>
            <w:r>
              <w:rPr>
                <w:sz w:val="20"/>
                <w:szCs w:val="20"/>
                <w:lang w:val="ka-GE"/>
              </w:rPr>
              <w:t xml:space="preserve"> პროგრამა არსებობს, რომლის გაფართოება და განვითარება ამ სტრატეგიის ერთ-ერთი ამოცანა</w:t>
            </w:r>
            <w:r w:rsidR="002D61EC">
              <w:rPr>
                <w:sz w:val="20"/>
                <w:szCs w:val="20"/>
                <w:lang w:val="ka-GE"/>
              </w:rPr>
              <w:t>ა.</w:t>
            </w:r>
          </w:p>
          <w:p w:rsidR="002B1218" w:rsidRPr="002D61EC" w:rsidRDefault="002B1218" w:rsidP="00C02FF5">
            <w:pPr>
              <w:jc w:val="both"/>
              <w:rPr>
                <w:sz w:val="20"/>
                <w:szCs w:val="20"/>
                <w:lang w:val="ka-GE"/>
              </w:rPr>
            </w:pPr>
            <w:r w:rsidRPr="002B1218">
              <w:rPr>
                <w:b/>
                <w:color w:val="FF0000"/>
                <w:sz w:val="20"/>
                <w:szCs w:val="20"/>
                <w:lang w:val="ka-GE"/>
              </w:rPr>
              <w:t>ჯანდაცვა</w:t>
            </w:r>
            <w:r w:rsidR="008F39C2">
              <w:rPr>
                <w:b/>
                <w:color w:val="FF0000"/>
                <w:sz w:val="20"/>
                <w:szCs w:val="20"/>
              </w:rPr>
              <w:t xml:space="preserve"> ???</w:t>
            </w:r>
          </w:p>
        </w:tc>
        <w:tc>
          <w:tcPr>
            <w:tcW w:w="1980" w:type="dxa"/>
          </w:tcPr>
          <w:p w:rsidR="00476EA6" w:rsidRPr="00DA3554" w:rsidRDefault="00476EA6" w:rsidP="00021E8B">
            <w:pPr>
              <w:rPr>
                <w:sz w:val="20"/>
                <w:szCs w:val="20"/>
                <w:lang w:val="ka-GE"/>
              </w:rPr>
            </w:pPr>
          </w:p>
        </w:tc>
      </w:tr>
      <w:tr w:rsidR="00476EA6" w:rsidRPr="00DA3554" w:rsidTr="00B974C5">
        <w:tc>
          <w:tcPr>
            <w:tcW w:w="2610" w:type="dxa"/>
          </w:tcPr>
          <w:p w:rsidR="00476EA6" w:rsidRDefault="00476EA6" w:rsidP="00476EA6">
            <w:pPr>
              <w:jc w:val="center"/>
              <w:rPr>
                <w:sz w:val="20"/>
                <w:szCs w:val="20"/>
                <w:lang w:val="ka-GE"/>
              </w:rPr>
            </w:pPr>
            <w:r>
              <w:rPr>
                <w:sz w:val="20"/>
                <w:szCs w:val="20"/>
                <w:lang w:val="ka-GE"/>
              </w:rPr>
              <w:t>დიასპორის ჩართულობა ქვეყნის განვითარებაში</w:t>
            </w:r>
          </w:p>
          <w:p w:rsidR="00021E8B" w:rsidRPr="00DA3554" w:rsidRDefault="00021E8B" w:rsidP="00476EA6">
            <w:pPr>
              <w:jc w:val="center"/>
              <w:rPr>
                <w:sz w:val="20"/>
                <w:szCs w:val="20"/>
                <w:lang w:val="ka-GE"/>
              </w:rPr>
            </w:pPr>
            <w:proofErr w:type="spellStart"/>
            <w:r w:rsidRPr="00021E8B">
              <w:rPr>
                <w:sz w:val="20"/>
                <w:szCs w:val="20"/>
                <w:lang w:val="ka-GE"/>
              </w:rPr>
              <w:t>Engagement</w:t>
            </w:r>
            <w:proofErr w:type="spellEnd"/>
            <w:r w:rsidRPr="00021E8B">
              <w:rPr>
                <w:sz w:val="20"/>
                <w:szCs w:val="20"/>
                <w:lang w:val="ka-GE"/>
              </w:rPr>
              <w:t xml:space="preserve"> of </w:t>
            </w:r>
            <w:proofErr w:type="spellStart"/>
            <w:r w:rsidRPr="00021E8B">
              <w:rPr>
                <w:sz w:val="20"/>
                <w:szCs w:val="20"/>
                <w:lang w:val="ka-GE"/>
              </w:rPr>
              <w:t>diaspora</w:t>
            </w:r>
            <w:proofErr w:type="spellEnd"/>
            <w:r w:rsidRPr="00021E8B">
              <w:rPr>
                <w:sz w:val="20"/>
                <w:szCs w:val="20"/>
                <w:lang w:val="ka-GE"/>
              </w:rPr>
              <w:t xml:space="preserve"> </w:t>
            </w:r>
            <w:proofErr w:type="spellStart"/>
            <w:r w:rsidRPr="00021E8B">
              <w:rPr>
                <w:sz w:val="20"/>
                <w:szCs w:val="20"/>
                <w:lang w:val="ka-GE"/>
              </w:rPr>
              <w:t>in</w:t>
            </w:r>
            <w:proofErr w:type="spellEnd"/>
            <w:r w:rsidRPr="00021E8B">
              <w:rPr>
                <w:sz w:val="20"/>
                <w:szCs w:val="20"/>
                <w:lang w:val="ka-GE"/>
              </w:rPr>
              <w:t xml:space="preserve"> </w:t>
            </w:r>
            <w:proofErr w:type="spellStart"/>
            <w:r w:rsidRPr="00021E8B">
              <w:rPr>
                <w:sz w:val="20"/>
                <w:szCs w:val="20"/>
                <w:lang w:val="ka-GE"/>
              </w:rPr>
              <w:t>country’s</w:t>
            </w:r>
            <w:proofErr w:type="spellEnd"/>
            <w:r w:rsidRPr="00021E8B">
              <w:rPr>
                <w:sz w:val="20"/>
                <w:szCs w:val="20"/>
                <w:lang w:val="ka-GE"/>
              </w:rPr>
              <w:t xml:space="preserve"> </w:t>
            </w:r>
            <w:proofErr w:type="spellStart"/>
            <w:r w:rsidRPr="00021E8B">
              <w:rPr>
                <w:sz w:val="20"/>
                <w:szCs w:val="20"/>
                <w:lang w:val="ka-GE"/>
              </w:rPr>
              <w:t>development</w:t>
            </w:r>
            <w:proofErr w:type="spellEnd"/>
          </w:p>
        </w:tc>
        <w:tc>
          <w:tcPr>
            <w:tcW w:w="5310" w:type="dxa"/>
          </w:tcPr>
          <w:p w:rsidR="00476EA6" w:rsidRPr="003804E9" w:rsidRDefault="003804E9" w:rsidP="00021E8B">
            <w:pPr>
              <w:pStyle w:val="ListParagraph"/>
              <w:numPr>
                <w:ilvl w:val="0"/>
                <w:numId w:val="1"/>
              </w:numPr>
              <w:ind w:left="0"/>
              <w:jc w:val="both"/>
              <w:rPr>
                <w:lang w:val="en-GB"/>
              </w:rPr>
            </w:pPr>
            <w:r>
              <w:rPr>
                <w:rFonts w:ascii="Sylfaen" w:hAnsi="Sylfaen"/>
                <w:sz w:val="20"/>
                <w:szCs w:val="20"/>
              </w:rPr>
              <w:t xml:space="preserve">1. </w:t>
            </w:r>
            <w:r w:rsidRPr="00142D7F">
              <w:rPr>
                <w:rFonts w:ascii="Sylfaen" w:hAnsi="Sylfaen"/>
                <w:sz w:val="20"/>
                <w:szCs w:val="20"/>
                <w:lang w:val="en-US"/>
              </w:rPr>
              <w:t xml:space="preserve">The aspect of involvement of returning diaspora in the societal development could be further strengthened in the strategy document by providing </w:t>
            </w:r>
            <w:r w:rsidRPr="00142D7F">
              <w:rPr>
                <w:rFonts w:ascii="Sylfaen" w:hAnsi="Sylfaen"/>
                <w:sz w:val="20"/>
                <w:szCs w:val="20"/>
                <w:lang w:val="en-GB"/>
              </w:rPr>
              <w:t>a comprehensive framework that addresses all the needs for returned migrants, including economic and social</w:t>
            </w:r>
            <w:r w:rsidRPr="00142D7F">
              <w:rPr>
                <w:rFonts w:ascii="Sylfaen" w:hAnsi="Sylfaen"/>
                <w:b/>
                <w:sz w:val="20"/>
                <w:szCs w:val="20"/>
                <w:lang w:val="en-GB"/>
              </w:rPr>
              <w:t>. R</w:t>
            </w:r>
            <w:proofErr w:type="spellStart"/>
            <w:r w:rsidRPr="00142D7F">
              <w:rPr>
                <w:rFonts w:ascii="Sylfaen" w:hAnsi="Sylfaen"/>
                <w:b/>
                <w:sz w:val="20"/>
                <w:szCs w:val="20"/>
                <w:lang w:val="en-US"/>
              </w:rPr>
              <w:t>elevant</w:t>
            </w:r>
            <w:proofErr w:type="spellEnd"/>
            <w:r w:rsidRPr="00142D7F">
              <w:rPr>
                <w:rFonts w:ascii="Sylfaen" w:hAnsi="Sylfaen"/>
                <w:b/>
                <w:sz w:val="20"/>
                <w:szCs w:val="20"/>
                <w:lang w:val="en-US"/>
              </w:rPr>
              <w:t xml:space="preserve"> objectives could be enriched by including active incentives to attract the realization of start-up ideas of returning diaspora for a sustainable development (like in the field of climate change).</w:t>
            </w:r>
            <w:r w:rsidRPr="00142D7F">
              <w:rPr>
                <w:lang w:val="en-US"/>
              </w:rPr>
              <w:t xml:space="preserve">  </w:t>
            </w:r>
          </w:p>
        </w:tc>
        <w:tc>
          <w:tcPr>
            <w:tcW w:w="5130" w:type="dxa"/>
          </w:tcPr>
          <w:p w:rsidR="008F39C2" w:rsidRPr="008F39C2" w:rsidRDefault="008F39C2" w:rsidP="008F39C2">
            <w:pPr>
              <w:jc w:val="both"/>
              <w:rPr>
                <w:color w:val="000000" w:themeColor="text1"/>
                <w:sz w:val="20"/>
                <w:szCs w:val="20"/>
              </w:rPr>
            </w:pPr>
            <w:r>
              <w:rPr>
                <w:color w:val="000000" w:themeColor="text1"/>
                <w:sz w:val="20"/>
                <w:szCs w:val="20"/>
              </w:rPr>
              <w:t xml:space="preserve">Yes, the very right point! Bearing in mind that this strategy as an umbrella document with global objectives is designed to push for sectorial development followed by respective activities, also taking into account the diaspora oriented state </w:t>
            </w:r>
            <w:proofErr w:type="spellStart"/>
            <w:r>
              <w:rPr>
                <w:color w:val="000000" w:themeColor="text1"/>
                <w:sz w:val="20"/>
                <w:szCs w:val="20"/>
              </w:rPr>
              <w:t>programmes</w:t>
            </w:r>
            <w:proofErr w:type="spellEnd"/>
            <w:r>
              <w:rPr>
                <w:color w:val="000000" w:themeColor="text1"/>
                <w:sz w:val="20"/>
                <w:szCs w:val="20"/>
              </w:rPr>
              <w:t xml:space="preserve"> developed by MFA, it is envisaged that under the common frame created by the given strategy this concrete direction is to be enhanced and implemented (including the action proposed) within the </w:t>
            </w:r>
            <w:r w:rsidR="005361AA">
              <w:rPr>
                <w:color w:val="000000" w:themeColor="text1"/>
                <w:sz w:val="20"/>
                <w:szCs w:val="20"/>
              </w:rPr>
              <w:t>sub strategical documents and AP</w:t>
            </w:r>
            <w:r>
              <w:rPr>
                <w:color w:val="000000" w:themeColor="text1"/>
                <w:sz w:val="20"/>
                <w:szCs w:val="20"/>
              </w:rPr>
              <w:t>s.</w:t>
            </w:r>
          </w:p>
          <w:p w:rsidR="00476EA6" w:rsidRPr="008F39C2" w:rsidRDefault="003804E9" w:rsidP="008F39C2">
            <w:pPr>
              <w:rPr>
                <w:sz w:val="20"/>
                <w:szCs w:val="20"/>
              </w:rPr>
            </w:pPr>
            <w:r w:rsidRPr="008F39C2">
              <w:rPr>
                <w:b/>
                <w:color w:val="FF0000"/>
                <w:sz w:val="20"/>
                <w:szCs w:val="20"/>
                <w:lang w:val="ka-GE"/>
              </w:rPr>
              <w:t xml:space="preserve">საგარეო </w:t>
            </w:r>
            <w:r w:rsidR="008F39C2">
              <w:rPr>
                <w:b/>
                <w:color w:val="FF0000"/>
                <w:sz w:val="20"/>
                <w:szCs w:val="20"/>
              </w:rPr>
              <w:t>????</w:t>
            </w:r>
          </w:p>
        </w:tc>
        <w:tc>
          <w:tcPr>
            <w:tcW w:w="1980" w:type="dxa"/>
          </w:tcPr>
          <w:p w:rsidR="00476EA6" w:rsidRPr="00DA3554" w:rsidRDefault="00476EA6" w:rsidP="00021E8B">
            <w:pPr>
              <w:rPr>
                <w:sz w:val="20"/>
                <w:szCs w:val="20"/>
                <w:lang w:val="ka-GE"/>
              </w:rPr>
            </w:pPr>
          </w:p>
        </w:tc>
      </w:tr>
      <w:tr w:rsidR="00476EA6" w:rsidRPr="00DA3554" w:rsidTr="00B974C5">
        <w:tc>
          <w:tcPr>
            <w:tcW w:w="2610" w:type="dxa"/>
          </w:tcPr>
          <w:p w:rsidR="00476EA6" w:rsidRDefault="00476EA6" w:rsidP="00476EA6">
            <w:pPr>
              <w:jc w:val="center"/>
              <w:rPr>
                <w:sz w:val="20"/>
                <w:szCs w:val="20"/>
                <w:lang w:val="ka-GE"/>
              </w:rPr>
            </w:pPr>
            <w:r>
              <w:rPr>
                <w:sz w:val="20"/>
                <w:szCs w:val="20"/>
                <w:lang w:val="ka-GE"/>
              </w:rPr>
              <w:t>თავშესაფრის სისტემის განვითარება</w:t>
            </w:r>
          </w:p>
          <w:p w:rsidR="00021E8B" w:rsidRPr="00476EA6" w:rsidRDefault="00021E8B" w:rsidP="00476EA6">
            <w:pPr>
              <w:jc w:val="center"/>
              <w:rPr>
                <w:sz w:val="20"/>
                <w:szCs w:val="20"/>
                <w:lang w:val="ka-GE"/>
              </w:rPr>
            </w:pPr>
            <w:proofErr w:type="spellStart"/>
            <w:r w:rsidRPr="00021E8B">
              <w:rPr>
                <w:sz w:val="20"/>
                <w:szCs w:val="20"/>
                <w:lang w:val="ka-GE"/>
              </w:rPr>
              <w:t>Development</w:t>
            </w:r>
            <w:proofErr w:type="spellEnd"/>
            <w:r w:rsidRPr="00021E8B">
              <w:rPr>
                <w:sz w:val="20"/>
                <w:szCs w:val="20"/>
                <w:lang w:val="ka-GE"/>
              </w:rPr>
              <w:t xml:space="preserve"> of </w:t>
            </w:r>
            <w:proofErr w:type="spellStart"/>
            <w:r w:rsidRPr="00021E8B">
              <w:rPr>
                <w:sz w:val="20"/>
                <w:szCs w:val="20"/>
                <w:lang w:val="ka-GE"/>
              </w:rPr>
              <w:t>asylum</w:t>
            </w:r>
            <w:proofErr w:type="spellEnd"/>
            <w:r w:rsidRPr="00021E8B">
              <w:rPr>
                <w:sz w:val="20"/>
                <w:szCs w:val="20"/>
                <w:lang w:val="ka-GE"/>
              </w:rPr>
              <w:t xml:space="preserve"> </w:t>
            </w:r>
            <w:proofErr w:type="spellStart"/>
            <w:r w:rsidRPr="00021E8B">
              <w:rPr>
                <w:sz w:val="20"/>
                <w:szCs w:val="20"/>
                <w:lang w:val="ka-GE"/>
              </w:rPr>
              <w:t>system</w:t>
            </w:r>
            <w:proofErr w:type="spellEnd"/>
          </w:p>
        </w:tc>
        <w:tc>
          <w:tcPr>
            <w:tcW w:w="5310" w:type="dxa"/>
          </w:tcPr>
          <w:p w:rsidR="00021E8B" w:rsidRDefault="00021E8B" w:rsidP="00021E8B">
            <w:pPr>
              <w:spacing w:line="276" w:lineRule="auto"/>
            </w:pPr>
            <w:r>
              <w:t>1…..</w:t>
            </w:r>
          </w:p>
          <w:p w:rsidR="00021E8B" w:rsidRDefault="00021E8B" w:rsidP="00021E8B">
            <w:pPr>
              <w:spacing w:line="276" w:lineRule="auto"/>
            </w:pPr>
            <w:r>
              <w:t>2…..</w:t>
            </w:r>
          </w:p>
          <w:p w:rsidR="00021E8B" w:rsidRDefault="00021E8B" w:rsidP="00021E8B">
            <w:pPr>
              <w:spacing w:line="276" w:lineRule="auto"/>
            </w:pPr>
            <w:r>
              <w:t>3…..</w:t>
            </w:r>
          </w:p>
          <w:p w:rsidR="00476EA6" w:rsidRPr="00DA3554" w:rsidRDefault="00021E8B" w:rsidP="00021E8B">
            <w:pPr>
              <w:rPr>
                <w:sz w:val="20"/>
                <w:szCs w:val="20"/>
                <w:lang w:val="ka-GE"/>
              </w:rPr>
            </w:pPr>
            <w:r>
              <w:t>Etc.</w:t>
            </w:r>
          </w:p>
        </w:tc>
        <w:tc>
          <w:tcPr>
            <w:tcW w:w="5130" w:type="dxa"/>
          </w:tcPr>
          <w:p w:rsidR="00476EA6" w:rsidRPr="00DA3554" w:rsidRDefault="00476EA6" w:rsidP="00021E8B">
            <w:pPr>
              <w:rPr>
                <w:sz w:val="20"/>
                <w:szCs w:val="20"/>
                <w:lang w:val="ka-GE"/>
              </w:rPr>
            </w:pPr>
          </w:p>
        </w:tc>
        <w:tc>
          <w:tcPr>
            <w:tcW w:w="1980" w:type="dxa"/>
          </w:tcPr>
          <w:p w:rsidR="00476EA6" w:rsidRPr="00DA3554" w:rsidRDefault="00476EA6" w:rsidP="00021E8B">
            <w:pPr>
              <w:rPr>
                <w:sz w:val="20"/>
                <w:szCs w:val="20"/>
                <w:lang w:val="ka-GE"/>
              </w:rPr>
            </w:pPr>
          </w:p>
        </w:tc>
      </w:tr>
      <w:tr w:rsidR="00476EA6" w:rsidRPr="00DA3554" w:rsidTr="00B974C5">
        <w:tc>
          <w:tcPr>
            <w:tcW w:w="2610" w:type="dxa"/>
          </w:tcPr>
          <w:p w:rsidR="00476EA6" w:rsidRDefault="00476EA6" w:rsidP="00476EA6">
            <w:pPr>
              <w:jc w:val="center"/>
              <w:rPr>
                <w:sz w:val="20"/>
                <w:szCs w:val="20"/>
                <w:lang w:val="ka-GE"/>
              </w:rPr>
            </w:pPr>
            <w:r>
              <w:rPr>
                <w:sz w:val="20"/>
                <w:szCs w:val="20"/>
                <w:lang w:val="ka-GE"/>
              </w:rPr>
              <w:t>უცხოელთა ინტეგრაცია</w:t>
            </w:r>
          </w:p>
          <w:p w:rsidR="00021E8B" w:rsidRDefault="00021E8B" w:rsidP="00476EA6">
            <w:pPr>
              <w:jc w:val="center"/>
              <w:rPr>
                <w:sz w:val="20"/>
                <w:szCs w:val="20"/>
                <w:lang w:val="ka-GE"/>
              </w:rPr>
            </w:pPr>
            <w:proofErr w:type="spellStart"/>
            <w:r w:rsidRPr="00021E8B">
              <w:rPr>
                <w:sz w:val="20"/>
                <w:szCs w:val="20"/>
                <w:lang w:val="ka-GE"/>
              </w:rPr>
              <w:t>Integration</w:t>
            </w:r>
            <w:proofErr w:type="spellEnd"/>
            <w:r w:rsidRPr="00021E8B">
              <w:rPr>
                <w:sz w:val="20"/>
                <w:szCs w:val="20"/>
                <w:lang w:val="ka-GE"/>
              </w:rPr>
              <w:t xml:space="preserve"> of </w:t>
            </w:r>
            <w:proofErr w:type="spellStart"/>
            <w:r w:rsidRPr="00021E8B">
              <w:rPr>
                <w:sz w:val="20"/>
                <w:szCs w:val="20"/>
                <w:lang w:val="ka-GE"/>
              </w:rPr>
              <w:t>foreigners</w:t>
            </w:r>
            <w:proofErr w:type="spellEnd"/>
          </w:p>
        </w:tc>
        <w:tc>
          <w:tcPr>
            <w:tcW w:w="5310" w:type="dxa"/>
          </w:tcPr>
          <w:p w:rsidR="00476EA6" w:rsidRPr="00FB3521" w:rsidRDefault="00FB3521" w:rsidP="00FB3521">
            <w:pPr>
              <w:pStyle w:val="ListParagraph"/>
              <w:numPr>
                <w:ilvl w:val="0"/>
                <w:numId w:val="1"/>
              </w:numPr>
              <w:ind w:left="0"/>
              <w:jc w:val="both"/>
              <w:rPr>
                <w:rFonts w:ascii="Sylfaen" w:hAnsi="Sylfaen"/>
                <w:sz w:val="20"/>
                <w:szCs w:val="20"/>
                <w:lang w:val="en-GB"/>
              </w:rPr>
            </w:pPr>
            <w:r w:rsidRPr="00FB3521">
              <w:rPr>
                <w:rFonts w:ascii="Sylfaen" w:hAnsi="Sylfaen"/>
                <w:sz w:val="20"/>
                <w:szCs w:val="20"/>
              </w:rPr>
              <w:t xml:space="preserve">1. </w:t>
            </w:r>
            <w:r w:rsidRPr="00FB3521">
              <w:rPr>
                <w:rFonts w:ascii="Sylfaen" w:hAnsi="Sylfaen"/>
                <w:sz w:val="20"/>
                <w:szCs w:val="20"/>
                <w:lang w:val="en-US"/>
              </w:rPr>
              <w:t xml:space="preserve">The focus of the strategy is clearly on Georgians, migrating or returning, but not so much on foreigners/refugees or migrants in Georgia. </w:t>
            </w:r>
            <w:r w:rsidRPr="00FB3521">
              <w:rPr>
                <w:rFonts w:ascii="Sylfaen" w:hAnsi="Sylfaen"/>
                <w:b/>
                <w:sz w:val="20"/>
                <w:szCs w:val="20"/>
                <w:lang w:val="en-US"/>
              </w:rPr>
              <w:t xml:space="preserve">Therefore, we would suggest strengthening the part on protection and the treatment of </w:t>
            </w:r>
            <w:r w:rsidR="003804E9">
              <w:rPr>
                <w:rFonts w:ascii="Sylfaen" w:hAnsi="Sylfaen"/>
                <w:b/>
                <w:sz w:val="20"/>
                <w:szCs w:val="20"/>
                <w:lang w:val="en-US"/>
              </w:rPr>
              <w:t xml:space="preserve">migrants in Georgia as well as </w:t>
            </w:r>
            <w:r w:rsidRPr="00FB3521">
              <w:rPr>
                <w:rFonts w:ascii="Sylfaen" w:hAnsi="Sylfaen"/>
                <w:b/>
                <w:sz w:val="20"/>
                <w:szCs w:val="20"/>
                <w:lang w:val="en-GB"/>
              </w:rPr>
              <w:t xml:space="preserve">management of asylum seekers, in particular those coming from the Middle East. The strategy document would need to include a comprehensive policy in </w:t>
            </w:r>
            <w:r w:rsidRPr="00FB3521">
              <w:rPr>
                <w:rFonts w:ascii="Sylfaen" w:hAnsi="Sylfaen"/>
                <w:b/>
                <w:sz w:val="20"/>
                <w:szCs w:val="20"/>
                <w:lang w:val="en-GB"/>
              </w:rPr>
              <w:lastRenderedPageBreak/>
              <w:t>line with international standards based on principles of equality and non-discrimination.</w:t>
            </w:r>
          </w:p>
        </w:tc>
        <w:tc>
          <w:tcPr>
            <w:tcW w:w="5130" w:type="dxa"/>
          </w:tcPr>
          <w:p w:rsidR="00476EA6" w:rsidRPr="005361AA" w:rsidRDefault="00FB3521" w:rsidP="00FB29DE">
            <w:pPr>
              <w:jc w:val="both"/>
              <w:rPr>
                <w:b/>
                <w:sz w:val="20"/>
                <w:szCs w:val="20"/>
                <w:lang w:val="ka-GE"/>
              </w:rPr>
            </w:pPr>
            <w:r w:rsidRPr="008F39C2">
              <w:rPr>
                <w:b/>
                <w:color w:val="FF0000"/>
                <w:sz w:val="20"/>
                <w:szCs w:val="20"/>
                <w:lang w:val="ka-GE"/>
              </w:rPr>
              <w:lastRenderedPageBreak/>
              <w:t>შსს / ჯანდაც</w:t>
            </w:r>
            <w:r w:rsidR="0015654C" w:rsidRPr="008F39C2">
              <w:rPr>
                <w:b/>
                <w:color w:val="FF0000"/>
                <w:sz w:val="20"/>
                <w:szCs w:val="20"/>
                <w:lang w:val="ka-GE"/>
              </w:rPr>
              <w:t>ვ</w:t>
            </w:r>
            <w:r w:rsidRPr="008F39C2">
              <w:rPr>
                <w:b/>
                <w:color w:val="FF0000"/>
                <w:sz w:val="20"/>
                <w:szCs w:val="20"/>
                <w:lang w:val="ka-GE"/>
              </w:rPr>
              <w:t>ა</w:t>
            </w:r>
            <w:r w:rsidR="002D61EC" w:rsidRPr="008F39C2">
              <w:rPr>
                <w:b/>
                <w:color w:val="FF0000"/>
                <w:sz w:val="20"/>
                <w:szCs w:val="20"/>
                <w:lang w:val="ka-GE"/>
              </w:rPr>
              <w:t xml:space="preserve"> </w:t>
            </w:r>
          </w:p>
        </w:tc>
        <w:tc>
          <w:tcPr>
            <w:tcW w:w="1980" w:type="dxa"/>
          </w:tcPr>
          <w:p w:rsidR="00476EA6" w:rsidRPr="00DA3554" w:rsidRDefault="00476EA6" w:rsidP="00021E8B">
            <w:pPr>
              <w:rPr>
                <w:sz w:val="20"/>
                <w:szCs w:val="20"/>
                <w:lang w:val="ka-GE"/>
              </w:rPr>
            </w:pPr>
          </w:p>
        </w:tc>
      </w:tr>
      <w:tr w:rsidR="00476EA6" w:rsidRPr="00DA3554" w:rsidTr="00B974C5">
        <w:tc>
          <w:tcPr>
            <w:tcW w:w="2610" w:type="dxa"/>
          </w:tcPr>
          <w:p w:rsidR="00476EA6" w:rsidRDefault="00476EA6" w:rsidP="00476EA6">
            <w:pPr>
              <w:jc w:val="center"/>
              <w:rPr>
                <w:sz w:val="20"/>
                <w:szCs w:val="20"/>
                <w:lang w:val="ka-GE"/>
              </w:rPr>
            </w:pPr>
            <w:r>
              <w:rPr>
                <w:sz w:val="20"/>
                <w:szCs w:val="20"/>
                <w:lang w:val="ka-GE"/>
              </w:rPr>
              <w:t>განხორციელება მონიტორინგი და შეფასება</w:t>
            </w:r>
          </w:p>
          <w:p w:rsidR="00021E8B" w:rsidRDefault="00021E8B" w:rsidP="00476EA6">
            <w:pPr>
              <w:jc w:val="center"/>
              <w:rPr>
                <w:sz w:val="20"/>
                <w:szCs w:val="20"/>
                <w:lang w:val="ka-GE"/>
              </w:rPr>
            </w:pPr>
            <w:proofErr w:type="spellStart"/>
            <w:r w:rsidRPr="00021E8B">
              <w:rPr>
                <w:sz w:val="20"/>
                <w:szCs w:val="20"/>
                <w:lang w:val="ka-GE"/>
              </w:rPr>
              <w:t>Implementation</w:t>
            </w:r>
            <w:proofErr w:type="spellEnd"/>
            <w:r w:rsidRPr="00021E8B">
              <w:rPr>
                <w:sz w:val="20"/>
                <w:szCs w:val="20"/>
                <w:lang w:val="ka-GE"/>
              </w:rPr>
              <w:t xml:space="preserve">, </w:t>
            </w:r>
            <w:proofErr w:type="spellStart"/>
            <w:r w:rsidRPr="00021E8B">
              <w:rPr>
                <w:sz w:val="20"/>
                <w:szCs w:val="20"/>
                <w:lang w:val="ka-GE"/>
              </w:rPr>
              <w:t>monitoring</w:t>
            </w:r>
            <w:proofErr w:type="spellEnd"/>
            <w:r w:rsidRPr="00021E8B">
              <w:rPr>
                <w:sz w:val="20"/>
                <w:szCs w:val="20"/>
                <w:lang w:val="ka-GE"/>
              </w:rPr>
              <w:t xml:space="preserve"> </w:t>
            </w:r>
            <w:proofErr w:type="spellStart"/>
            <w:r w:rsidRPr="00021E8B">
              <w:rPr>
                <w:sz w:val="20"/>
                <w:szCs w:val="20"/>
                <w:lang w:val="ka-GE"/>
              </w:rPr>
              <w:t>and</w:t>
            </w:r>
            <w:proofErr w:type="spellEnd"/>
            <w:r w:rsidRPr="00021E8B">
              <w:rPr>
                <w:sz w:val="20"/>
                <w:szCs w:val="20"/>
                <w:lang w:val="ka-GE"/>
              </w:rPr>
              <w:t xml:space="preserve"> </w:t>
            </w:r>
            <w:proofErr w:type="spellStart"/>
            <w:r w:rsidRPr="00021E8B">
              <w:rPr>
                <w:sz w:val="20"/>
                <w:szCs w:val="20"/>
                <w:lang w:val="ka-GE"/>
              </w:rPr>
              <w:t>evaluation</w:t>
            </w:r>
            <w:proofErr w:type="spellEnd"/>
            <w:r>
              <w:rPr>
                <w:sz w:val="20"/>
                <w:szCs w:val="20"/>
                <w:lang w:val="ka-GE"/>
              </w:rPr>
              <w:t xml:space="preserve"> </w:t>
            </w:r>
          </w:p>
        </w:tc>
        <w:tc>
          <w:tcPr>
            <w:tcW w:w="5310" w:type="dxa"/>
          </w:tcPr>
          <w:p w:rsidR="00021E8B" w:rsidRDefault="00021E8B" w:rsidP="00021E8B">
            <w:pPr>
              <w:spacing w:line="276" w:lineRule="auto"/>
            </w:pPr>
            <w:r>
              <w:t>1…..</w:t>
            </w:r>
          </w:p>
          <w:p w:rsidR="00021E8B" w:rsidRDefault="00021E8B" w:rsidP="00021E8B">
            <w:pPr>
              <w:spacing w:line="276" w:lineRule="auto"/>
            </w:pPr>
            <w:r>
              <w:t>2…..</w:t>
            </w:r>
          </w:p>
          <w:p w:rsidR="00021E8B" w:rsidRDefault="00021E8B" w:rsidP="00021E8B">
            <w:pPr>
              <w:spacing w:line="276" w:lineRule="auto"/>
            </w:pPr>
            <w:r>
              <w:t>3…..</w:t>
            </w:r>
          </w:p>
          <w:p w:rsidR="00476EA6" w:rsidRPr="00DA3554" w:rsidRDefault="00021E8B" w:rsidP="00021E8B">
            <w:pPr>
              <w:rPr>
                <w:sz w:val="20"/>
                <w:szCs w:val="20"/>
                <w:lang w:val="ka-GE"/>
              </w:rPr>
            </w:pPr>
            <w:r>
              <w:t>Etc.</w:t>
            </w:r>
          </w:p>
        </w:tc>
        <w:tc>
          <w:tcPr>
            <w:tcW w:w="5130" w:type="dxa"/>
          </w:tcPr>
          <w:p w:rsidR="00476EA6" w:rsidRPr="00DA3554" w:rsidRDefault="00476EA6" w:rsidP="00021E8B">
            <w:pPr>
              <w:rPr>
                <w:sz w:val="20"/>
                <w:szCs w:val="20"/>
                <w:lang w:val="ka-GE"/>
              </w:rPr>
            </w:pPr>
          </w:p>
        </w:tc>
        <w:tc>
          <w:tcPr>
            <w:tcW w:w="1980" w:type="dxa"/>
          </w:tcPr>
          <w:p w:rsidR="00476EA6" w:rsidRPr="00DA3554" w:rsidRDefault="00476EA6" w:rsidP="00021E8B">
            <w:pPr>
              <w:rPr>
                <w:sz w:val="20"/>
                <w:szCs w:val="20"/>
                <w:lang w:val="ka-GE"/>
              </w:rPr>
            </w:pPr>
          </w:p>
        </w:tc>
      </w:tr>
    </w:tbl>
    <w:p w:rsidR="00DA3554" w:rsidRPr="00DA3554" w:rsidRDefault="00DA3554" w:rsidP="00DA3554">
      <w:pPr>
        <w:jc w:val="center"/>
        <w:rPr>
          <w:b/>
          <w:sz w:val="20"/>
          <w:szCs w:val="20"/>
          <w:lang w:val="ka-GE"/>
        </w:rPr>
      </w:pPr>
    </w:p>
    <w:sectPr w:rsidR="00DA3554" w:rsidRPr="00DA3554" w:rsidSect="00DA3554">
      <w:pgSz w:w="15840" w:h="12240" w:orient="landscape"/>
      <w:pgMar w:top="99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EB4170"/>
    <w:multiLevelType w:val="hybridMultilevel"/>
    <w:tmpl w:val="D5CC8CA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360" w:hanging="360"/>
      </w:pPr>
      <w:rPr>
        <w:rFonts w:ascii="Courier New" w:hAnsi="Courier New" w:cs="Courier New" w:hint="default"/>
      </w:rPr>
    </w:lvl>
    <w:lvl w:ilvl="2" w:tplc="08090005">
      <w:start w:val="1"/>
      <w:numFmt w:val="bullet"/>
      <w:lvlText w:val=""/>
      <w:lvlJc w:val="left"/>
      <w:pPr>
        <w:ind w:left="1080" w:hanging="360"/>
      </w:pPr>
      <w:rPr>
        <w:rFonts w:ascii="Wingdings" w:hAnsi="Wingdings" w:hint="default"/>
      </w:rPr>
    </w:lvl>
    <w:lvl w:ilvl="3" w:tplc="08090001">
      <w:start w:val="1"/>
      <w:numFmt w:val="bullet"/>
      <w:lvlText w:val=""/>
      <w:lvlJc w:val="left"/>
      <w:pPr>
        <w:ind w:left="1800" w:hanging="360"/>
      </w:pPr>
      <w:rPr>
        <w:rFonts w:ascii="Symbol" w:hAnsi="Symbol" w:hint="default"/>
      </w:rPr>
    </w:lvl>
    <w:lvl w:ilvl="4" w:tplc="08090003">
      <w:start w:val="1"/>
      <w:numFmt w:val="bullet"/>
      <w:lvlText w:val="o"/>
      <w:lvlJc w:val="left"/>
      <w:pPr>
        <w:ind w:left="2520" w:hanging="360"/>
      </w:pPr>
      <w:rPr>
        <w:rFonts w:ascii="Courier New" w:hAnsi="Courier New" w:cs="Courier New" w:hint="default"/>
      </w:rPr>
    </w:lvl>
    <w:lvl w:ilvl="5" w:tplc="08090005">
      <w:start w:val="1"/>
      <w:numFmt w:val="bullet"/>
      <w:lvlText w:val=""/>
      <w:lvlJc w:val="left"/>
      <w:pPr>
        <w:ind w:left="3240" w:hanging="360"/>
      </w:pPr>
      <w:rPr>
        <w:rFonts w:ascii="Wingdings" w:hAnsi="Wingdings" w:hint="default"/>
      </w:rPr>
    </w:lvl>
    <w:lvl w:ilvl="6" w:tplc="08090001">
      <w:start w:val="1"/>
      <w:numFmt w:val="bullet"/>
      <w:lvlText w:val=""/>
      <w:lvlJc w:val="left"/>
      <w:pPr>
        <w:ind w:left="3960" w:hanging="360"/>
      </w:pPr>
      <w:rPr>
        <w:rFonts w:ascii="Symbol" w:hAnsi="Symbol" w:hint="default"/>
      </w:rPr>
    </w:lvl>
    <w:lvl w:ilvl="7" w:tplc="08090003">
      <w:start w:val="1"/>
      <w:numFmt w:val="bullet"/>
      <w:lvlText w:val="o"/>
      <w:lvlJc w:val="left"/>
      <w:pPr>
        <w:ind w:left="4680" w:hanging="360"/>
      </w:pPr>
      <w:rPr>
        <w:rFonts w:ascii="Courier New" w:hAnsi="Courier New" w:cs="Courier New" w:hint="default"/>
      </w:rPr>
    </w:lvl>
    <w:lvl w:ilvl="8" w:tplc="08090005">
      <w:start w:val="1"/>
      <w:numFmt w:val="bullet"/>
      <w:lvlText w:val=""/>
      <w:lvlJc w:val="left"/>
      <w:pPr>
        <w:ind w:left="54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60B6"/>
    <w:rsid w:val="00021E8B"/>
    <w:rsid w:val="000316F6"/>
    <w:rsid w:val="0012465B"/>
    <w:rsid w:val="00142D7F"/>
    <w:rsid w:val="00151FB6"/>
    <w:rsid w:val="0015654C"/>
    <w:rsid w:val="00210394"/>
    <w:rsid w:val="00223BC2"/>
    <w:rsid w:val="00224FC9"/>
    <w:rsid w:val="0026081F"/>
    <w:rsid w:val="002B1218"/>
    <w:rsid w:val="002D61EC"/>
    <w:rsid w:val="00336AEF"/>
    <w:rsid w:val="003804E9"/>
    <w:rsid w:val="00476EA6"/>
    <w:rsid w:val="004A3503"/>
    <w:rsid w:val="004F403F"/>
    <w:rsid w:val="005361AA"/>
    <w:rsid w:val="00543BF6"/>
    <w:rsid w:val="005623D7"/>
    <w:rsid w:val="005C5F61"/>
    <w:rsid w:val="006B3FE6"/>
    <w:rsid w:val="00801104"/>
    <w:rsid w:val="00827188"/>
    <w:rsid w:val="008A3E0C"/>
    <w:rsid w:val="008F289F"/>
    <w:rsid w:val="008F39C2"/>
    <w:rsid w:val="00A260B6"/>
    <w:rsid w:val="00AC04A7"/>
    <w:rsid w:val="00B974C5"/>
    <w:rsid w:val="00BA6804"/>
    <w:rsid w:val="00C02FF5"/>
    <w:rsid w:val="00C85007"/>
    <w:rsid w:val="00CC7421"/>
    <w:rsid w:val="00CD6505"/>
    <w:rsid w:val="00CE2152"/>
    <w:rsid w:val="00D34B66"/>
    <w:rsid w:val="00D87268"/>
    <w:rsid w:val="00DA3554"/>
    <w:rsid w:val="00DB1B35"/>
    <w:rsid w:val="00EC0B74"/>
    <w:rsid w:val="00FB29DE"/>
    <w:rsid w:val="00FB3521"/>
    <w:rsid w:val="00FC33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0FA17"/>
  <w15:chartTrackingRefBased/>
  <w15:docId w15:val="{DE8A8535-6C58-4DC4-A440-D0B879423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lfaen" w:eastAsiaTheme="minorHAnsi" w:hAnsi="Sylfae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A35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42D7F"/>
    <w:pPr>
      <w:spacing w:after="0" w:line="240" w:lineRule="auto"/>
      <w:ind w:left="720"/>
    </w:pPr>
    <w:rPr>
      <w:rFonts w:ascii="Calibri" w:hAnsi="Calibri" w:cs="Calibri"/>
      <w:lang w:val="ka-GE" w:eastAsia="ka-GE"/>
    </w:rPr>
  </w:style>
  <w:style w:type="paragraph" w:styleId="BalloonText">
    <w:name w:val="Balloon Text"/>
    <w:basedOn w:val="Normal"/>
    <w:link w:val="BalloonTextChar"/>
    <w:uiPriority w:val="99"/>
    <w:semiHidden/>
    <w:unhideWhenUsed/>
    <w:rsid w:val="008011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1104"/>
    <w:rPr>
      <w:rFonts w:ascii="Segoe UI" w:hAnsi="Segoe UI" w:cs="Segoe UI"/>
      <w:sz w:val="18"/>
      <w:szCs w:val="18"/>
    </w:rPr>
  </w:style>
  <w:style w:type="character" w:styleId="CommentReference">
    <w:name w:val="annotation reference"/>
    <w:basedOn w:val="DefaultParagraphFont"/>
    <w:uiPriority w:val="99"/>
    <w:semiHidden/>
    <w:unhideWhenUsed/>
    <w:rsid w:val="00801104"/>
    <w:rPr>
      <w:sz w:val="16"/>
      <w:szCs w:val="16"/>
    </w:rPr>
  </w:style>
  <w:style w:type="paragraph" w:styleId="CommentText">
    <w:name w:val="annotation text"/>
    <w:basedOn w:val="Normal"/>
    <w:link w:val="CommentTextChar"/>
    <w:uiPriority w:val="99"/>
    <w:semiHidden/>
    <w:unhideWhenUsed/>
    <w:rsid w:val="00801104"/>
    <w:pPr>
      <w:spacing w:line="240" w:lineRule="auto"/>
    </w:pPr>
    <w:rPr>
      <w:sz w:val="20"/>
      <w:szCs w:val="20"/>
    </w:rPr>
  </w:style>
  <w:style w:type="character" w:customStyle="1" w:styleId="CommentTextChar">
    <w:name w:val="Comment Text Char"/>
    <w:basedOn w:val="DefaultParagraphFont"/>
    <w:link w:val="CommentText"/>
    <w:uiPriority w:val="99"/>
    <w:semiHidden/>
    <w:rsid w:val="00801104"/>
    <w:rPr>
      <w:sz w:val="20"/>
      <w:szCs w:val="20"/>
    </w:rPr>
  </w:style>
  <w:style w:type="paragraph" w:styleId="CommentSubject">
    <w:name w:val="annotation subject"/>
    <w:basedOn w:val="CommentText"/>
    <w:next w:val="CommentText"/>
    <w:link w:val="CommentSubjectChar"/>
    <w:uiPriority w:val="99"/>
    <w:semiHidden/>
    <w:unhideWhenUsed/>
    <w:rsid w:val="00801104"/>
    <w:rPr>
      <w:b/>
      <w:bCs/>
    </w:rPr>
  </w:style>
  <w:style w:type="character" w:customStyle="1" w:styleId="CommentSubjectChar">
    <w:name w:val="Comment Subject Char"/>
    <w:basedOn w:val="CommentTextChar"/>
    <w:link w:val="CommentSubject"/>
    <w:uiPriority w:val="99"/>
    <w:semiHidden/>
    <w:rsid w:val="0080110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731810">
      <w:bodyDiv w:val="1"/>
      <w:marLeft w:val="0"/>
      <w:marRight w:val="0"/>
      <w:marTop w:val="0"/>
      <w:marBottom w:val="0"/>
      <w:divBdr>
        <w:top w:val="none" w:sz="0" w:space="0" w:color="auto"/>
        <w:left w:val="none" w:sz="0" w:space="0" w:color="auto"/>
        <w:bottom w:val="none" w:sz="0" w:space="0" w:color="auto"/>
        <w:right w:val="none" w:sz="0" w:space="0" w:color="auto"/>
      </w:divBdr>
    </w:div>
    <w:div w:id="665518622">
      <w:bodyDiv w:val="1"/>
      <w:marLeft w:val="0"/>
      <w:marRight w:val="0"/>
      <w:marTop w:val="0"/>
      <w:marBottom w:val="0"/>
      <w:divBdr>
        <w:top w:val="none" w:sz="0" w:space="0" w:color="auto"/>
        <w:left w:val="none" w:sz="0" w:space="0" w:color="auto"/>
        <w:bottom w:val="none" w:sz="0" w:space="0" w:color="auto"/>
        <w:right w:val="none" w:sz="0" w:space="0" w:color="auto"/>
      </w:divBdr>
    </w:div>
    <w:div w:id="1191449984">
      <w:bodyDiv w:val="1"/>
      <w:marLeft w:val="0"/>
      <w:marRight w:val="0"/>
      <w:marTop w:val="0"/>
      <w:marBottom w:val="0"/>
      <w:divBdr>
        <w:top w:val="none" w:sz="0" w:space="0" w:color="auto"/>
        <w:left w:val="none" w:sz="0" w:space="0" w:color="auto"/>
        <w:bottom w:val="none" w:sz="0" w:space="0" w:color="auto"/>
        <w:right w:val="none" w:sz="0" w:space="0" w:color="auto"/>
      </w:divBdr>
    </w:div>
    <w:div w:id="1242259296">
      <w:bodyDiv w:val="1"/>
      <w:marLeft w:val="0"/>
      <w:marRight w:val="0"/>
      <w:marTop w:val="0"/>
      <w:marBottom w:val="0"/>
      <w:divBdr>
        <w:top w:val="none" w:sz="0" w:space="0" w:color="auto"/>
        <w:left w:val="none" w:sz="0" w:space="0" w:color="auto"/>
        <w:bottom w:val="none" w:sz="0" w:space="0" w:color="auto"/>
        <w:right w:val="none" w:sz="0" w:space="0" w:color="auto"/>
      </w:divBdr>
    </w:div>
    <w:div w:id="1293057747">
      <w:bodyDiv w:val="1"/>
      <w:marLeft w:val="0"/>
      <w:marRight w:val="0"/>
      <w:marTop w:val="0"/>
      <w:marBottom w:val="0"/>
      <w:divBdr>
        <w:top w:val="none" w:sz="0" w:space="0" w:color="auto"/>
        <w:left w:val="none" w:sz="0" w:space="0" w:color="auto"/>
        <w:bottom w:val="none" w:sz="0" w:space="0" w:color="auto"/>
        <w:right w:val="none" w:sz="0" w:space="0" w:color="auto"/>
      </w:divBdr>
    </w:div>
    <w:div w:id="1568958312">
      <w:bodyDiv w:val="1"/>
      <w:marLeft w:val="0"/>
      <w:marRight w:val="0"/>
      <w:marTop w:val="0"/>
      <w:marBottom w:val="0"/>
      <w:divBdr>
        <w:top w:val="none" w:sz="0" w:space="0" w:color="auto"/>
        <w:left w:val="none" w:sz="0" w:space="0" w:color="auto"/>
        <w:bottom w:val="none" w:sz="0" w:space="0" w:color="auto"/>
        <w:right w:val="none" w:sz="0" w:space="0" w:color="auto"/>
      </w:divBdr>
    </w:div>
    <w:div w:id="1637442913">
      <w:bodyDiv w:val="1"/>
      <w:marLeft w:val="0"/>
      <w:marRight w:val="0"/>
      <w:marTop w:val="0"/>
      <w:marBottom w:val="0"/>
      <w:divBdr>
        <w:top w:val="none" w:sz="0" w:space="0" w:color="auto"/>
        <w:left w:val="none" w:sz="0" w:space="0" w:color="auto"/>
        <w:bottom w:val="none" w:sz="0" w:space="0" w:color="auto"/>
        <w:right w:val="none" w:sz="0" w:space="0" w:color="auto"/>
      </w:divBdr>
    </w:div>
    <w:div w:id="1783762041">
      <w:bodyDiv w:val="1"/>
      <w:marLeft w:val="0"/>
      <w:marRight w:val="0"/>
      <w:marTop w:val="0"/>
      <w:marBottom w:val="0"/>
      <w:divBdr>
        <w:top w:val="none" w:sz="0" w:space="0" w:color="auto"/>
        <w:left w:val="none" w:sz="0" w:space="0" w:color="auto"/>
        <w:bottom w:val="none" w:sz="0" w:space="0" w:color="auto"/>
        <w:right w:val="none" w:sz="0" w:space="0" w:color="auto"/>
      </w:divBdr>
    </w:div>
    <w:div w:id="1941065371">
      <w:bodyDiv w:val="1"/>
      <w:marLeft w:val="0"/>
      <w:marRight w:val="0"/>
      <w:marTop w:val="0"/>
      <w:marBottom w:val="0"/>
      <w:divBdr>
        <w:top w:val="none" w:sz="0" w:space="0" w:color="auto"/>
        <w:left w:val="none" w:sz="0" w:space="0" w:color="auto"/>
        <w:bottom w:val="none" w:sz="0" w:space="0" w:color="auto"/>
        <w:right w:val="none" w:sz="0" w:space="0" w:color="auto"/>
      </w:divBdr>
    </w:div>
    <w:div w:id="1953633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4</Pages>
  <Words>1128</Words>
  <Characters>6436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Temo</dc:creator>
  <cp:keywords/>
  <dc:description/>
  <cp:lastModifiedBy>SCMI-Secretariat</cp:lastModifiedBy>
  <cp:revision>9</cp:revision>
  <dcterms:created xsi:type="dcterms:W3CDTF">2020-11-21T17:15:00Z</dcterms:created>
  <dcterms:modified xsi:type="dcterms:W3CDTF">2020-11-22T06:30:00Z</dcterms:modified>
</cp:coreProperties>
</file>