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71" w:rsidRDefault="00EF0371" w:rsidP="00EF0371">
      <w:pPr>
        <w:jc w:val="center"/>
        <w:rPr>
          <w:rFonts w:eastAsiaTheme="minorHAnsi" w:cs="Times New Roman"/>
          <w:bdr w:val="none" w:sz="0" w:space="0" w:color="auto"/>
          <w:lang w:val="en-GB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Noto Sans" w:hAnsi="Noto Sans" w:cs="Noto Sans"/>
          <w:b/>
          <w:bCs/>
          <w:color w:val="131313"/>
          <w:sz w:val="22"/>
          <w:szCs w:val="22"/>
          <w:lang w:val="en-US"/>
        </w:rPr>
        <w:t>Technical note</w:t>
      </w:r>
    </w:p>
    <w:p w:rsidR="00EF0371" w:rsidRPr="00EF0371" w:rsidRDefault="00EF0371" w:rsidP="00EF0371">
      <w:pPr>
        <w:jc w:val="center"/>
        <w:rPr>
          <w:lang w:val="en-GB"/>
        </w:rPr>
      </w:pPr>
      <w:r w:rsidRPr="00EF0371">
        <w:rPr>
          <w:rFonts w:ascii="Noto Sans" w:hAnsi="Noto Sans" w:cs="Noto Sans"/>
          <w:color w:val="131313"/>
          <w:sz w:val="20"/>
          <w:szCs w:val="20"/>
          <w:lang w:val="en-GB"/>
        </w:rPr>
        <w:t> </w:t>
      </w:r>
    </w:p>
    <w:p w:rsidR="00EF0371" w:rsidRPr="00D6206C" w:rsidRDefault="00EF0371" w:rsidP="00D6206C">
      <w:pPr>
        <w:jc w:val="both"/>
        <w:rPr>
          <w:rFonts w:ascii="Noto Sans" w:eastAsia="Times New Roman" w:hAnsi="Noto Sans" w:cs="Noto Sans"/>
          <w:sz w:val="20"/>
          <w:szCs w:val="20"/>
          <w:lang w:val="en-GB"/>
        </w:rPr>
      </w:pPr>
      <w:r w:rsidRPr="00D6206C">
        <w:rPr>
          <w:rFonts w:ascii="Noto Sans" w:hAnsi="Noto Sans" w:cs="Noto Sans"/>
          <w:color w:val="auto"/>
          <w:sz w:val="20"/>
          <w:szCs w:val="20"/>
          <w:lang w:val="en-GB"/>
        </w:rPr>
        <w:t>The web-co</w:t>
      </w:r>
      <w:r w:rsidR="005331DB" w:rsidRPr="00D6206C">
        <w:rPr>
          <w:rFonts w:ascii="Noto Sans" w:hAnsi="Noto Sans" w:cs="Noto Sans"/>
          <w:color w:val="auto"/>
          <w:sz w:val="20"/>
          <w:szCs w:val="20"/>
          <w:lang w:val="en-GB"/>
        </w:rPr>
        <w:t>nference “</w:t>
      </w:r>
      <w:r w:rsidR="00D6206C" w:rsidRPr="00D6206C">
        <w:rPr>
          <w:rFonts w:ascii="Noto Sans" w:eastAsia="Times New Roman" w:hAnsi="Noto Sans" w:cs="Noto Sans"/>
          <w:sz w:val="20"/>
          <w:szCs w:val="20"/>
          <w:lang w:val="en-GB"/>
        </w:rPr>
        <w:t>Role of social dialogue in supporting employment and advancing towards economic recovery</w:t>
      </w:r>
      <w:r w:rsidR="005331DB" w:rsidRPr="00D6206C">
        <w:rPr>
          <w:rFonts w:ascii="Noto Sans" w:hAnsi="Noto Sans" w:cs="Noto Sans"/>
          <w:sz w:val="20"/>
          <w:szCs w:val="20"/>
          <w:lang w:val="en-GB"/>
        </w:rPr>
        <w:t>”</w:t>
      </w:r>
      <w:r w:rsidR="005331DB" w:rsidRPr="00D6206C">
        <w:rPr>
          <w:rFonts w:ascii="Noto Sans" w:hAnsi="Noto Sans" w:cs="Noto Sans"/>
          <w:color w:val="auto"/>
          <w:sz w:val="20"/>
          <w:szCs w:val="20"/>
          <w:lang w:val="en-GB"/>
        </w:rPr>
        <w:t xml:space="preserve"> will be conducted on </w:t>
      </w:r>
      <w:r w:rsidR="0069084D" w:rsidRPr="00D6206C">
        <w:rPr>
          <w:rFonts w:ascii="Noto Sans" w:hAnsi="Noto Sans" w:cs="Noto Sans"/>
          <w:b/>
          <w:color w:val="auto"/>
          <w:sz w:val="20"/>
          <w:szCs w:val="20"/>
          <w:lang w:val="en-GB"/>
        </w:rPr>
        <w:t>13 July</w:t>
      </w:r>
      <w:r w:rsidRPr="00D6206C">
        <w:rPr>
          <w:rFonts w:ascii="Noto Sans" w:hAnsi="Noto Sans" w:cs="Noto Sans"/>
          <w:b/>
          <w:color w:val="auto"/>
          <w:sz w:val="20"/>
          <w:szCs w:val="20"/>
          <w:lang w:val="en-GB"/>
        </w:rPr>
        <w:t xml:space="preserve"> 2020 at </w:t>
      </w:r>
      <w:r w:rsidR="0069084D" w:rsidRPr="00D6206C">
        <w:rPr>
          <w:rFonts w:ascii="Noto Sans" w:hAnsi="Noto Sans" w:cs="Noto Sans"/>
          <w:b/>
          <w:color w:val="auto"/>
          <w:sz w:val="20"/>
          <w:szCs w:val="20"/>
          <w:u w:val="single"/>
          <w:lang w:val="en-GB"/>
        </w:rPr>
        <w:t>12</w:t>
      </w:r>
      <w:r w:rsidRPr="00D6206C">
        <w:rPr>
          <w:rFonts w:ascii="Noto Sans" w:hAnsi="Noto Sans" w:cs="Noto Sans"/>
          <w:b/>
          <w:color w:val="auto"/>
          <w:sz w:val="20"/>
          <w:szCs w:val="20"/>
          <w:u w:val="single"/>
          <w:lang w:val="en-GB"/>
        </w:rPr>
        <w:t>:00 Moscow time.</w:t>
      </w:r>
    </w:p>
    <w:p w:rsidR="005331DB" w:rsidRDefault="005331DB" w:rsidP="00D6206C">
      <w:pPr>
        <w:pStyle w:val="NormalWeb"/>
        <w:jc w:val="both"/>
      </w:pPr>
      <w:r>
        <w:rPr>
          <w:rFonts w:ascii="Noto Sans" w:hAnsi="Noto Sans" w:cs="Noto Sans"/>
          <w:color w:val="000000"/>
          <w:sz w:val="20"/>
          <w:szCs w:val="20"/>
        </w:rPr>
        <w:t> </w:t>
      </w:r>
    </w:p>
    <w:p w:rsidR="00D6206C" w:rsidRDefault="00D6206C" w:rsidP="00D6206C">
      <w:pPr>
        <w:pStyle w:val="a1"/>
        <w:jc w:val="both"/>
        <w:rPr>
          <w:rFonts w:ascii="Noto Sans" w:hAnsi="Noto Sans" w:cs="Noto Sans"/>
          <w:sz w:val="20"/>
          <w:szCs w:val="20"/>
        </w:rPr>
      </w:pPr>
      <w:r w:rsidRPr="00414D0C">
        <w:rPr>
          <w:rFonts w:ascii="Noto Sans" w:hAnsi="Noto Sans" w:cs="Noto Sans"/>
          <w:sz w:val="20"/>
          <w:szCs w:val="20"/>
        </w:rPr>
        <w:t>Building confidence through trust and dialogue is crucial to make policy measures effective. Especially in times of heightened social tension and a lack of trust in institutions, strengthened respect for, and reliance on mechanisms of social dialogue creates a strong basis for building the commitment of employers and workers to the joint action with governments. Enterprise-level social dialogue is also crucial.</w:t>
      </w:r>
    </w:p>
    <w:p w:rsidR="00D6206C" w:rsidRPr="00414D0C" w:rsidRDefault="00D6206C" w:rsidP="00D6206C">
      <w:pPr>
        <w:pStyle w:val="a1"/>
        <w:jc w:val="both"/>
        <w:rPr>
          <w:rFonts w:ascii="Noto Sans" w:hAnsi="Noto Sans" w:cs="Noto Sans"/>
          <w:sz w:val="20"/>
          <w:szCs w:val="20"/>
        </w:rPr>
      </w:pPr>
    </w:p>
    <w:p w:rsidR="00D6206C" w:rsidRDefault="00D6206C" w:rsidP="00D6206C">
      <w:pPr>
        <w:pStyle w:val="a1"/>
        <w:jc w:val="both"/>
        <w:rPr>
          <w:rFonts w:ascii="Noto Sans" w:hAnsi="Noto Sans" w:cs="Noto Sans"/>
          <w:sz w:val="20"/>
          <w:szCs w:val="20"/>
        </w:rPr>
      </w:pPr>
      <w:r w:rsidRPr="00414D0C">
        <w:rPr>
          <w:rFonts w:ascii="Noto Sans" w:hAnsi="Noto Sans" w:cs="Noto Sans"/>
          <w:sz w:val="20"/>
          <w:szCs w:val="20"/>
        </w:rPr>
        <w:t>Strengthening the capacity and resilience of employers’ and workers’ organizations is essential for facilitating enterprise level dialogue and improving employment policies and labor market institutions.</w:t>
      </w:r>
    </w:p>
    <w:p w:rsidR="00D6206C" w:rsidRPr="00414D0C" w:rsidRDefault="00D6206C" w:rsidP="00D6206C">
      <w:pPr>
        <w:pStyle w:val="a1"/>
        <w:jc w:val="both"/>
        <w:rPr>
          <w:rFonts w:ascii="Noto Sans" w:hAnsi="Noto Sans" w:cs="Noto Sans"/>
          <w:sz w:val="20"/>
          <w:szCs w:val="20"/>
        </w:rPr>
      </w:pPr>
    </w:p>
    <w:p w:rsidR="00D6206C" w:rsidRPr="00D6206C" w:rsidRDefault="00D6206C" w:rsidP="00D6206C">
      <w:pPr>
        <w:jc w:val="both"/>
        <w:rPr>
          <w:rFonts w:ascii="Noto Sans" w:eastAsia="Times New Roman" w:hAnsi="Noto Sans" w:cs="Noto Sans"/>
          <w:sz w:val="20"/>
          <w:szCs w:val="20"/>
          <w:lang w:val="en-GB"/>
        </w:rPr>
      </w:pPr>
      <w:r w:rsidRPr="00D6206C">
        <w:rPr>
          <w:rFonts w:ascii="Noto Sans" w:eastAsia="Times New Roman" w:hAnsi="Noto Sans" w:cs="Noto Sans"/>
          <w:sz w:val="20"/>
          <w:szCs w:val="20"/>
          <w:lang w:val="en-GB"/>
        </w:rPr>
        <w:t>Social dialog</w:t>
      </w:r>
      <w:r w:rsidR="008E25FB">
        <w:rPr>
          <w:rFonts w:ascii="Noto Sans" w:eastAsia="Times New Roman" w:hAnsi="Noto Sans" w:cs="Noto Sans"/>
          <w:sz w:val="20"/>
          <w:szCs w:val="20"/>
          <w:lang w:val="en-GB"/>
        </w:rPr>
        <w:t>ue</w:t>
      </w:r>
      <w:r w:rsidRPr="00D6206C">
        <w:rPr>
          <w:rFonts w:ascii="Noto Sans" w:eastAsia="Times New Roman" w:hAnsi="Noto Sans" w:cs="Noto Sans"/>
          <w:sz w:val="20"/>
          <w:szCs w:val="20"/>
          <w:lang w:val="en-GB"/>
        </w:rPr>
        <w:t xml:space="preserve"> plays a paramount role in designing adequate, human-centered, </w:t>
      </w:r>
      <w:bookmarkStart w:id="0" w:name="_GoBack"/>
      <w:bookmarkEnd w:id="0"/>
      <w:r w:rsidRPr="00D6206C">
        <w:rPr>
          <w:rFonts w:ascii="Noto Sans" w:eastAsia="Times New Roman" w:hAnsi="Noto Sans" w:cs="Noto Sans"/>
          <w:sz w:val="20"/>
          <w:szCs w:val="20"/>
          <w:lang w:val="en-GB"/>
        </w:rPr>
        <w:t xml:space="preserve">inclusive and effective </w:t>
      </w:r>
      <w:r w:rsidR="008269C4" w:rsidRPr="00D6206C">
        <w:rPr>
          <w:rFonts w:ascii="Noto Sans" w:eastAsia="Times New Roman" w:hAnsi="Noto Sans" w:cs="Noto Sans"/>
          <w:sz w:val="20"/>
          <w:szCs w:val="20"/>
          <w:lang w:val="en-GB"/>
        </w:rPr>
        <w:t>anti-crisis</w:t>
      </w:r>
      <w:r w:rsidRPr="00D6206C">
        <w:rPr>
          <w:rFonts w:ascii="Noto Sans" w:eastAsia="Times New Roman" w:hAnsi="Noto Sans" w:cs="Noto Sans"/>
          <w:sz w:val="20"/>
          <w:szCs w:val="20"/>
          <w:lang w:val="en-GB"/>
        </w:rPr>
        <w:t xml:space="preserve"> policies, based on international labour standards and aiming to promote decent work principles, leading to a better post-pandemic “normality”. </w:t>
      </w:r>
    </w:p>
    <w:p w:rsidR="00D6206C" w:rsidRPr="00D6206C" w:rsidRDefault="00D6206C" w:rsidP="00D6206C">
      <w:pPr>
        <w:jc w:val="both"/>
        <w:rPr>
          <w:rFonts w:ascii="Noto Sans" w:eastAsia="Times New Roman" w:hAnsi="Noto Sans" w:cs="Noto Sans"/>
          <w:sz w:val="20"/>
          <w:szCs w:val="20"/>
          <w:lang w:val="en-GB"/>
        </w:rPr>
      </w:pPr>
    </w:p>
    <w:p w:rsidR="00BD5B73" w:rsidRPr="005331DB" w:rsidRDefault="00D6206C" w:rsidP="00504BF1">
      <w:pPr>
        <w:pStyle w:val="a4"/>
        <w:shd w:val="clear" w:color="auto" w:fill="FFFFFF"/>
        <w:spacing w:line="233" w:lineRule="atLeast"/>
        <w:jc w:val="both"/>
        <w:rPr>
          <w:rFonts w:ascii="Noto Sans" w:hAnsi="Noto Sans" w:cs="Noto Sans"/>
          <w:sz w:val="20"/>
          <w:szCs w:val="20"/>
        </w:rPr>
      </w:pPr>
      <w:r w:rsidRPr="00414D0C">
        <w:rPr>
          <w:rFonts w:ascii="Noto Sans" w:eastAsia="Times New Roman" w:hAnsi="Noto Sans" w:cs="Noto Sans"/>
          <w:sz w:val="20"/>
          <w:szCs w:val="20"/>
        </w:rPr>
        <w:t>Webinar discussants will present ILO vision of social dialog</w:t>
      </w:r>
      <w:r w:rsidR="008E25FB">
        <w:rPr>
          <w:rFonts w:ascii="Noto Sans" w:eastAsia="Times New Roman" w:hAnsi="Noto Sans" w:cs="Noto Sans"/>
          <w:sz w:val="20"/>
          <w:szCs w:val="20"/>
        </w:rPr>
        <w:t>ue</w:t>
      </w:r>
      <w:r w:rsidRPr="00414D0C">
        <w:rPr>
          <w:rFonts w:ascii="Noto Sans" w:eastAsia="Times New Roman" w:hAnsi="Noto Sans" w:cs="Noto Sans"/>
          <w:sz w:val="20"/>
          <w:szCs w:val="20"/>
        </w:rPr>
        <w:t>, as well as international experience in applying social dialog</w:t>
      </w:r>
      <w:r w:rsidR="00504BF1">
        <w:rPr>
          <w:rFonts w:ascii="Noto Sans" w:eastAsia="Times New Roman" w:hAnsi="Noto Sans" w:cs="Noto Sans"/>
          <w:sz w:val="20"/>
          <w:szCs w:val="20"/>
        </w:rPr>
        <w:t>ue</w:t>
      </w:r>
      <w:r w:rsidRPr="00414D0C">
        <w:rPr>
          <w:rFonts w:ascii="Noto Sans" w:eastAsia="Times New Roman" w:hAnsi="Noto Sans" w:cs="Noto Sans"/>
          <w:sz w:val="20"/>
          <w:szCs w:val="20"/>
        </w:rPr>
        <w:t>, in the context of the current</w:t>
      </w:r>
      <w:r>
        <w:rPr>
          <w:rFonts w:ascii="Noto Sans" w:eastAsia="Times New Roman" w:hAnsi="Noto Sans" w:cs="Noto Sans"/>
          <w:sz w:val="20"/>
          <w:szCs w:val="20"/>
        </w:rPr>
        <w:t xml:space="preserve"> economic crisis caused by COVID-</w:t>
      </w:r>
      <w:r w:rsidRPr="00414D0C">
        <w:rPr>
          <w:rFonts w:ascii="Noto Sans" w:eastAsia="Times New Roman" w:hAnsi="Noto Sans" w:cs="Noto Sans"/>
          <w:sz w:val="20"/>
          <w:szCs w:val="20"/>
        </w:rPr>
        <w:t>19 pandemic.</w:t>
      </w:r>
    </w:p>
    <w:p w:rsidR="00722B1F" w:rsidRDefault="00722B1F" w:rsidP="00504BF1">
      <w:pPr>
        <w:pStyle w:val="a3"/>
        <w:spacing w:before="0"/>
        <w:jc w:val="both"/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</w:pPr>
      <w:r w:rsidRPr="008F7E77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ILO Moscow invited following speakers to share their views and insights on the above:</w:t>
      </w:r>
    </w:p>
    <w:p w:rsidR="00A062FC" w:rsidRDefault="00A062FC" w:rsidP="00504BF1">
      <w:pPr>
        <w:pStyle w:val="a3"/>
        <w:spacing w:before="0"/>
        <w:jc w:val="both"/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</w:pPr>
    </w:p>
    <w:p w:rsidR="00F45320" w:rsidRPr="008F7E77" w:rsidRDefault="00F45320" w:rsidP="00A062FC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426" w:hanging="426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</w:rPr>
        <w:t xml:space="preserve">Ms. </w:t>
      </w:r>
      <w:r w:rsidRPr="008F7E77"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</w:rPr>
        <w:t>Olga Koulaeva</w:t>
      </w:r>
      <w:r w:rsidRPr="008F7E77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  <w:lang w:val="en-US"/>
        </w:rPr>
        <w:t>, Director of the ILO DWT and Country Office for Eastern Europe and Central Asia</w:t>
      </w:r>
    </w:p>
    <w:p w:rsidR="00F45320" w:rsidRPr="00F45320" w:rsidRDefault="005331DB" w:rsidP="00A062FC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426" w:hanging="426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it-IT"/>
        </w:rPr>
        <w:t xml:space="preserve">Mr. </w:t>
      </w:r>
      <w:r w:rsidR="00722B1F" w:rsidRPr="008F7E77"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it-IT"/>
        </w:rPr>
        <w:t>Mikhail Pouchkin</w:t>
      </w:r>
      <w:r w:rsidR="00722B1F" w:rsidRPr="008F7E77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  <w:lang w:val="en-US"/>
        </w:rPr>
        <w:t>, Senior Employment Specialist of the ILO DWT and Country Office for Eastern Europe and Central Asia</w:t>
      </w:r>
    </w:p>
    <w:p w:rsidR="00722B1F" w:rsidRDefault="00F45320" w:rsidP="00A062FC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426" w:hanging="426"/>
        <w:jc w:val="both"/>
        <w:rPr>
          <w:rFonts w:ascii="Noto Sans" w:hAnsi="Noto Sans" w:cs="Noto Sans"/>
          <w:color w:val="auto"/>
          <w:sz w:val="20"/>
          <w:szCs w:val="20"/>
        </w:rPr>
      </w:pPr>
      <w:r>
        <w:rPr>
          <w:rFonts w:ascii="Noto Sans" w:eastAsia="Times New Roman" w:hAnsi="Noto Sans" w:cs="Noto Sans"/>
          <w:b/>
          <w:sz w:val="20"/>
          <w:szCs w:val="20"/>
        </w:rPr>
        <w:t>Mr. Leonid Andreev</w:t>
      </w:r>
      <w:r w:rsidR="005331DB" w:rsidRPr="005331DB">
        <w:rPr>
          <w:rFonts w:ascii="Noto Sans" w:eastAsia="Times New Roman" w:hAnsi="Noto Sans" w:cs="Noto Sans"/>
          <w:sz w:val="20"/>
          <w:szCs w:val="20"/>
        </w:rPr>
        <w:t xml:space="preserve">, </w:t>
      </w:r>
      <w:r w:rsidR="005331DB" w:rsidRPr="005331DB">
        <w:rPr>
          <w:rFonts w:ascii="Noto Sans" w:hAnsi="Noto Sans" w:cs="Noto Sans"/>
          <w:color w:val="auto"/>
          <w:sz w:val="20"/>
          <w:szCs w:val="20"/>
        </w:rPr>
        <w:t>ILO expert</w:t>
      </w:r>
    </w:p>
    <w:p w:rsidR="00F45320" w:rsidRPr="008F7E77" w:rsidRDefault="005040AF" w:rsidP="00A062FC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426" w:hanging="426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Mr. </w:t>
      </w:r>
      <w:r w:rsidR="00F45320" w:rsidRPr="008F7E77"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>Fedor Prokopov</w:t>
      </w:r>
      <w:r w:rsidR="00F45320" w:rsidRPr="008F7E77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F45320" w:rsidRPr="008F7E77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  <w:lang w:val="en-US"/>
        </w:rPr>
        <w:t>ILO expert</w:t>
      </w:r>
    </w:p>
    <w:p w:rsidR="00F45320" w:rsidRPr="008F7E77" w:rsidRDefault="005040AF" w:rsidP="00A062FC">
      <w:pPr>
        <w:pStyle w:val="a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/>
        <w:ind w:left="426" w:hanging="426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Mr. </w:t>
      </w:r>
      <w:r w:rsidR="00F45320"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>Vlad</w:t>
      </w:r>
      <w:r w:rsidR="00F45320"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en-GB"/>
        </w:rPr>
        <w:t>imir</w:t>
      </w:r>
      <w:r w:rsidR="00F45320" w:rsidRPr="008F7E77"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 Curovic, </w:t>
      </w:r>
      <w:r w:rsidR="00F45320" w:rsidRPr="008F7E77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Senior Specialist in Employers’ Activities</w:t>
      </w:r>
    </w:p>
    <w:p w:rsidR="00EF0371" w:rsidRDefault="005040AF" w:rsidP="00504BF1">
      <w:pPr>
        <w:pStyle w:val="a4"/>
        <w:numPr>
          <w:ilvl w:val="0"/>
          <w:numId w:val="4"/>
        </w:numPr>
        <w:shd w:val="clear" w:color="auto" w:fill="FFFFFF"/>
        <w:spacing w:line="233" w:lineRule="atLeast"/>
        <w:ind w:left="426" w:hanging="426"/>
        <w:jc w:val="both"/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</w:pPr>
      <w:r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Mr. </w:t>
      </w:r>
      <w:r w:rsidR="00F45320" w:rsidRPr="008F7E77">
        <w:rPr>
          <w:rFonts w:ascii="Noto Sans" w:hAnsi="Noto Sans" w:cs="Noto Sans"/>
          <w:b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Gocha Aleksandria, </w:t>
      </w:r>
      <w:r w:rsidR="00F45320" w:rsidRPr="008F7E77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Senior Specialist in Workers’ Activities</w:t>
      </w:r>
    </w:p>
    <w:p w:rsidR="00A062FC" w:rsidRPr="00A062FC" w:rsidRDefault="00A062FC" w:rsidP="00A062FC">
      <w:pPr>
        <w:pStyle w:val="a4"/>
        <w:shd w:val="clear" w:color="auto" w:fill="FFFFFF"/>
        <w:spacing w:line="233" w:lineRule="atLeast"/>
        <w:ind w:left="426"/>
        <w:jc w:val="both"/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</w:pPr>
    </w:p>
    <w:p w:rsidR="00EF0371" w:rsidRDefault="00EF0371" w:rsidP="00504BF1">
      <w:pPr>
        <w:pStyle w:val="a3"/>
        <w:spacing w:before="0"/>
        <w:jc w:val="both"/>
        <w:rPr>
          <w:rFonts w:hint="eastAsia"/>
        </w:rPr>
      </w:pPr>
      <w:r>
        <w:rPr>
          <w:rFonts w:ascii="Noto Sans" w:hAnsi="Noto Sans" w:cs="Noto Sans"/>
          <w:color w:val="auto"/>
          <w:sz w:val="20"/>
          <w:szCs w:val="20"/>
          <w:shd w:val="clear" w:color="auto" w:fill="FFFFFF"/>
          <w:lang w:val="it-IT"/>
        </w:rPr>
        <w:t xml:space="preserve">Moderator: </w:t>
      </w:r>
      <w:r w:rsidR="00F45320" w:rsidRPr="00F45320">
        <w:rPr>
          <w:rFonts w:ascii="Noto Sans" w:hAnsi="Noto Sans" w:cs="Noto Sans"/>
          <w:b/>
          <w:color w:val="auto"/>
          <w:sz w:val="20"/>
          <w:szCs w:val="20"/>
          <w:shd w:val="clear" w:color="auto" w:fill="FFFFFF"/>
          <w:lang w:val="it-IT"/>
        </w:rPr>
        <w:t xml:space="preserve">Mr. </w:t>
      </w:r>
      <w:r w:rsidRPr="00F45320">
        <w:rPr>
          <w:rFonts w:ascii="Noto Sans" w:hAnsi="Noto Sans" w:cs="Noto Sans"/>
          <w:b/>
          <w:bCs/>
          <w:color w:val="auto"/>
          <w:sz w:val="20"/>
          <w:szCs w:val="20"/>
          <w:shd w:val="clear" w:color="auto" w:fill="FFFFFF"/>
          <w:lang w:val="pt-PT"/>
        </w:rPr>
        <w:t>Ramiro</w:t>
      </w:r>
      <w:r>
        <w:rPr>
          <w:rFonts w:ascii="Noto Sans" w:hAnsi="Noto Sans" w:cs="Noto Sans"/>
          <w:b/>
          <w:bCs/>
          <w:color w:val="auto"/>
          <w:sz w:val="20"/>
          <w:szCs w:val="20"/>
          <w:shd w:val="clear" w:color="auto" w:fill="FFFFFF"/>
          <w:lang w:val="pt-PT"/>
        </w:rPr>
        <w:t xml:space="preserve"> Pizarro</w:t>
      </w:r>
      <w:r>
        <w:rPr>
          <w:rFonts w:ascii="Noto Sans" w:hAnsi="Noto Sans" w:cs="Noto Sans"/>
          <w:color w:val="auto"/>
          <w:sz w:val="20"/>
          <w:szCs w:val="20"/>
          <w:shd w:val="clear" w:color="auto" w:fill="FFFFFF"/>
          <w:lang w:val="en-US"/>
        </w:rPr>
        <w:t xml:space="preserve">, Manager of the Project </w:t>
      </w:r>
      <w:r>
        <w:rPr>
          <w:rFonts w:ascii="Noto Sans" w:hAnsi="Noto Sans" w:cs="Noto Sans"/>
          <w:color w:val="auto"/>
          <w:sz w:val="20"/>
          <w:szCs w:val="20"/>
          <w:shd w:val="clear" w:color="auto" w:fill="FFFFFF"/>
        </w:rPr>
        <w:t>“</w:t>
      </w:r>
      <w:r>
        <w:rPr>
          <w:rFonts w:ascii="Noto Sans" w:hAnsi="Noto Sans" w:cs="Noto Sans"/>
          <w:color w:val="auto"/>
          <w:sz w:val="20"/>
          <w:szCs w:val="20"/>
          <w:shd w:val="clear" w:color="auto" w:fill="FFFFFF"/>
          <w:lang w:val="en-US"/>
        </w:rPr>
        <w:t>Partnerships for Youth Employment in the CIS</w:t>
      </w:r>
      <w:r>
        <w:rPr>
          <w:rFonts w:ascii="Noto Sans" w:hAnsi="Noto Sans" w:cs="Noto Sans"/>
          <w:color w:val="auto"/>
          <w:sz w:val="20"/>
          <w:szCs w:val="20"/>
          <w:shd w:val="clear" w:color="auto" w:fill="FFFFFF"/>
        </w:rPr>
        <w:t>”</w:t>
      </w:r>
    </w:p>
    <w:p w:rsidR="00EF0371" w:rsidRPr="00EF0371" w:rsidRDefault="00EF0371" w:rsidP="00504BF1">
      <w:pPr>
        <w:jc w:val="both"/>
        <w:rPr>
          <w:lang w:val="en-GB"/>
        </w:rPr>
      </w:pPr>
    </w:p>
    <w:p w:rsidR="00EF0371" w:rsidRDefault="00EF0371" w:rsidP="00504BF1">
      <w:pPr>
        <w:pStyle w:val="a1"/>
        <w:jc w:val="both"/>
        <w:rPr>
          <w:rFonts w:hint="eastAsia"/>
        </w:rPr>
      </w:pPr>
      <w:r>
        <w:rPr>
          <w:rFonts w:ascii="Noto Sans" w:hAnsi="Noto Sans" w:cs="Noto Sans"/>
          <w:sz w:val="20"/>
          <w:szCs w:val="20"/>
          <w:shd w:val="clear" w:color="auto" w:fill="FFFFFF"/>
        </w:rPr>
        <w:t>The webinar will be conducted in Russian and English languages using </w:t>
      </w:r>
      <w:r w:rsidRPr="00DF6ED5">
        <w:rPr>
          <w:rStyle w:val="Emphasis"/>
          <w:rFonts w:ascii="Noto Sans" w:hAnsi="Noto Sans" w:cs="Noto Sans"/>
          <w:i w:val="0"/>
          <w:sz w:val="20"/>
          <w:szCs w:val="20"/>
          <w:shd w:val="clear" w:color="auto" w:fill="FFFFFF"/>
        </w:rPr>
        <w:t>Zoom</w:t>
      </w:r>
      <w:r>
        <w:rPr>
          <w:rFonts w:ascii="Noto Sans" w:hAnsi="Noto Sans" w:cs="Noto Sans"/>
          <w:sz w:val="20"/>
          <w:szCs w:val="20"/>
          <w:shd w:val="clear" w:color="auto" w:fill="FFFFFF"/>
        </w:rPr>
        <w:t> video conferencing. Q&amp;A session wi</w:t>
      </w:r>
      <w:r w:rsidR="00722B1F">
        <w:rPr>
          <w:rFonts w:ascii="Noto Sans" w:hAnsi="Noto Sans" w:cs="Noto Sans"/>
          <w:sz w:val="20"/>
          <w:szCs w:val="20"/>
          <w:shd w:val="clear" w:color="auto" w:fill="FFFFFF"/>
        </w:rPr>
        <w:t>ll follow the presentation.</w:t>
      </w:r>
    </w:p>
    <w:p w:rsidR="00EF0371" w:rsidRDefault="00EF0371" w:rsidP="00504BF1">
      <w:pPr>
        <w:pStyle w:val="a1"/>
        <w:jc w:val="both"/>
        <w:rPr>
          <w:rFonts w:hint="eastAsia"/>
        </w:rPr>
      </w:pPr>
    </w:p>
    <w:p w:rsidR="00EF0371" w:rsidRPr="007A76BD" w:rsidRDefault="00EF0371" w:rsidP="00504BF1">
      <w:pPr>
        <w:pStyle w:val="a1"/>
        <w:jc w:val="both"/>
        <w:rPr>
          <w:rFonts w:hint="eastAsia"/>
          <w:lang w:val="en-GB"/>
        </w:rPr>
      </w:pPr>
      <w:r>
        <w:rPr>
          <w:rFonts w:ascii="Noto Sans" w:hAnsi="Noto Sans" w:cs="Noto Sans"/>
          <w:sz w:val="20"/>
          <w:szCs w:val="20"/>
          <w:shd w:val="clear" w:color="auto" w:fill="FFFFFF"/>
        </w:rPr>
        <w:t xml:space="preserve">To register click </w:t>
      </w:r>
      <w:hyperlink r:id="rId5" w:history="1">
        <w:r w:rsidR="00F45320" w:rsidRPr="00F45320">
          <w:rPr>
            <w:rStyle w:val="Hyperlink"/>
            <w:rFonts w:ascii="Noto Sans" w:hAnsi="Noto Sans" w:cs="Noto Sans"/>
            <w:sz w:val="20"/>
            <w:szCs w:val="20"/>
            <w:lang w:val="en-GB"/>
          </w:rPr>
          <w:t>here.</w:t>
        </w:r>
      </w:hyperlink>
    </w:p>
    <w:p w:rsidR="00EF0371" w:rsidRPr="00EF0371" w:rsidRDefault="00EF0371" w:rsidP="00504BF1">
      <w:pPr>
        <w:jc w:val="both"/>
        <w:rPr>
          <w:lang w:val="en-GB"/>
        </w:rPr>
      </w:pPr>
    </w:p>
    <w:p w:rsidR="00EF0371" w:rsidRPr="00EF0371" w:rsidRDefault="00EF0371" w:rsidP="00504BF1">
      <w:pPr>
        <w:jc w:val="both"/>
        <w:rPr>
          <w:lang w:val="en-GB"/>
        </w:rPr>
      </w:pPr>
      <w:r w:rsidRPr="00EF0371">
        <w:rPr>
          <w:rFonts w:ascii="Noto Sans" w:hAnsi="Noto Sans" w:cs="Noto Sans"/>
          <w:sz w:val="20"/>
          <w:szCs w:val="20"/>
          <w:shd w:val="clear" w:color="auto" w:fill="FFFFFF"/>
          <w:lang w:val="en-GB"/>
        </w:rPr>
        <w:t>After registering, you will receive a confirmation email containing information about joining the webinar</w:t>
      </w:r>
      <w:r w:rsidRPr="00EF0371">
        <w:rPr>
          <w:rFonts w:ascii="Noto Sans" w:hAnsi="Noto Sans" w:cs="Noto Sans"/>
          <w:color w:val="212121"/>
          <w:sz w:val="20"/>
          <w:szCs w:val="20"/>
          <w:shd w:val="clear" w:color="auto" w:fill="FFFFFF"/>
          <w:lang w:val="en-GB"/>
        </w:rPr>
        <w:t>.</w:t>
      </w:r>
      <w:r w:rsidRPr="00EF0371">
        <w:rPr>
          <w:rFonts w:ascii="Noto Sans" w:hAnsi="Noto Sans" w:cs="Noto Sans"/>
          <w:sz w:val="20"/>
          <w:szCs w:val="20"/>
          <w:lang w:val="en-GB"/>
        </w:rPr>
        <w:t>​</w:t>
      </w:r>
    </w:p>
    <w:p w:rsidR="005E3385" w:rsidRPr="00EF0371" w:rsidRDefault="005E3385" w:rsidP="00504BF1">
      <w:pPr>
        <w:jc w:val="both"/>
        <w:rPr>
          <w:lang w:val="en-GB"/>
        </w:rPr>
      </w:pPr>
    </w:p>
    <w:sectPr w:rsidR="005E3385" w:rsidRPr="00EF0371" w:rsidSect="00D6206C">
      <w:pgSz w:w="11906" w:h="16838"/>
      <w:pgMar w:top="709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156"/>
    <w:multiLevelType w:val="hybridMultilevel"/>
    <w:tmpl w:val="D7B01EE4"/>
    <w:styleLink w:val="a"/>
    <w:lvl w:ilvl="0" w:tplc="89BC7ED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0"/>
        <w:highlight w:val="none"/>
        <w:vertAlign w:val="baseline"/>
      </w:rPr>
    </w:lvl>
    <w:lvl w:ilvl="1" w:tplc="6024CAD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2" w:tplc="2544FC0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3" w:tplc="6A08451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7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4" w:tplc="C54EC56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9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5" w:tplc="E42CF9E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1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6" w:tplc="4B3CAC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3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7" w:tplc="A426F8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5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8" w:tplc="8266FD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7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1C76984"/>
    <w:multiLevelType w:val="hybridMultilevel"/>
    <w:tmpl w:val="88E2CAC6"/>
    <w:styleLink w:val="a0"/>
    <w:lvl w:ilvl="0" w:tplc="9A02DBEA">
      <w:start w:val="1"/>
      <w:numFmt w:val="bullet"/>
      <w:lvlText w:val="•"/>
      <w:lvlJc w:val="left"/>
      <w:pPr>
        <w:ind w:left="678" w:hanging="45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1" w:tplc="3CF022D4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2" w:tplc="7BB43500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3" w:tplc="CB8E8AB2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4" w:tplc="3C48E352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5" w:tplc="80B06C54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6" w:tplc="50D44DDE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7" w:tplc="B5D679C8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  <w:lvl w:ilvl="8" w:tplc="5D82E000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0202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6585F69"/>
    <w:multiLevelType w:val="hybridMultilevel"/>
    <w:tmpl w:val="D7B01EE4"/>
    <w:numStyleLink w:val="a"/>
  </w:abstractNum>
  <w:abstractNum w:abstractNumId="3" w15:restartNumberingAfterBreak="0">
    <w:nsid w:val="49DF3A80"/>
    <w:multiLevelType w:val="hybridMultilevel"/>
    <w:tmpl w:val="88E2CAC6"/>
    <w:numStyleLink w:val="a0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BB"/>
    <w:rsid w:val="000454DE"/>
    <w:rsid w:val="0012137B"/>
    <w:rsid w:val="001D5284"/>
    <w:rsid w:val="00203743"/>
    <w:rsid w:val="003116B0"/>
    <w:rsid w:val="003136BB"/>
    <w:rsid w:val="003200B0"/>
    <w:rsid w:val="00392F66"/>
    <w:rsid w:val="00393532"/>
    <w:rsid w:val="003969BC"/>
    <w:rsid w:val="00455ECD"/>
    <w:rsid w:val="004D712D"/>
    <w:rsid w:val="005040AF"/>
    <w:rsid w:val="00504BF1"/>
    <w:rsid w:val="005331DB"/>
    <w:rsid w:val="005E3385"/>
    <w:rsid w:val="006074C3"/>
    <w:rsid w:val="00635409"/>
    <w:rsid w:val="0069084D"/>
    <w:rsid w:val="006C2DDA"/>
    <w:rsid w:val="00722B1F"/>
    <w:rsid w:val="00733A35"/>
    <w:rsid w:val="007A76BD"/>
    <w:rsid w:val="007B06CC"/>
    <w:rsid w:val="007D0742"/>
    <w:rsid w:val="008269C4"/>
    <w:rsid w:val="00861178"/>
    <w:rsid w:val="0086283F"/>
    <w:rsid w:val="00883E15"/>
    <w:rsid w:val="00885E61"/>
    <w:rsid w:val="008E25FB"/>
    <w:rsid w:val="00944C98"/>
    <w:rsid w:val="00A062FC"/>
    <w:rsid w:val="00A464ED"/>
    <w:rsid w:val="00A74EEC"/>
    <w:rsid w:val="00B44D36"/>
    <w:rsid w:val="00BD5B73"/>
    <w:rsid w:val="00C32218"/>
    <w:rsid w:val="00CF12A2"/>
    <w:rsid w:val="00D6206C"/>
    <w:rsid w:val="00DE05E1"/>
    <w:rsid w:val="00DF6ED5"/>
    <w:rsid w:val="00EC4B95"/>
    <w:rsid w:val="00EF0371"/>
    <w:rsid w:val="00F45320"/>
    <w:rsid w:val="00FA6836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11D6B-B1F7-49E5-934B-9E6D1EB9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92F6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ru-RU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Основной текст"/>
    <w:rsid w:val="00392F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0">
    <w:name w:val="Пункты"/>
    <w:rsid w:val="00392F66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635409"/>
    <w:rPr>
      <w:i/>
      <w:iCs/>
    </w:rPr>
  </w:style>
  <w:style w:type="character" w:styleId="Hyperlink">
    <w:name w:val="Hyperlink"/>
    <w:basedOn w:val="DefaultParagraphFont"/>
    <w:uiPriority w:val="99"/>
    <w:unhideWhenUsed/>
    <w:rsid w:val="005E33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C98"/>
    <w:rPr>
      <w:color w:val="954F72" w:themeColor="followedHyperlink"/>
      <w:u w:val="single"/>
    </w:rPr>
  </w:style>
  <w:style w:type="paragraph" w:customStyle="1" w:styleId="A2">
    <w:name w:val="Основной текст A"/>
    <w:uiPriority w:val="99"/>
    <w:rsid w:val="0086117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ru-RU" w:eastAsia="en-GB"/>
    </w:rPr>
  </w:style>
  <w:style w:type="paragraph" w:customStyle="1" w:styleId="a3">
    <w:name w:val="По умолчанию"/>
    <w:uiPriority w:val="99"/>
    <w:rsid w:val="0086117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861178"/>
    <w:pPr>
      <w:numPr>
        <w:numId w:val="3"/>
      </w:numPr>
    </w:pPr>
  </w:style>
  <w:style w:type="paragraph" w:customStyle="1" w:styleId="a4">
    <w:name w:val="a"/>
    <w:basedOn w:val="Normal"/>
    <w:uiPriority w:val="99"/>
    <w:rsid w:val="00722B1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2" w:lineRule="auto"/>
    </w:pPr>
    <w:rPr>
      <w:rFonts w:ascii="Calibri" w:eastAsiaTheme="minorHAnsi" w:hAnsi="Calibri" w:cs="Times New Roman"/>
      <w:sz w:val="22"/>
      <w:szCs w:val="22"/>
      <w:bdr w:val="none" w:sz="0" w:space="0" w:color="auto"/>
      <w:lang w:val="en-GB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5331D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</w:pPr>
    <w:rPr>
      <w:rFonts w:eastAsiaTheme="minorHAnsi" w:cs="Times New Roman"/>
      <w:color w:val="auto"/>
      <w:bdr w:val="none" w:sz="0" w:space="0" w:color="auto"/>
      <w:lang w:val="en-GB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533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webinar/register/WN_fjc9pVExR1qYV2xW7kos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LocUser</dc:creator>
  <cp:keywords/>
  <dc:description/>
  <cp:lastModifiedBy>LocUser</cp:lastModifiedBy>
  <cp:revision>44</cp:revision>
  <dcterms:created xsi:type="dcterms:W3CDTF">2020-05-13T12:11:00Z</dcterms:created>
  <dcterms:modified xsi:type="dcterms:W3CDTF">2020-07-07T08:03:00Z</dcterms:modified>
</cp:coreProperties>
</file>