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3C0D5" w14:textId="77777777" w:rsidR="007A151D" w:rsidRPr="00922293" w:rsidRDefault="007A151D" w:rsidP="007B673C">
      <w:pPr>
        <w:pStyle w:val="Titolo"/>
        <w:rPr>
          <w:rFonts w:ascii="Helvetica" w:hAnsi="Helvetica" w:cs="FiraGO"/>
          <w:b/>
          <w:color w:val="002060"/>
          <w:sz w:val="44"/>
          <w:szCs w:val="44"/>
        </w:rPr>
      </w:pPr>
      <w:r w:rsidRPr="00922293">
        <w:rPr>
          <w:rFonts w:ascii="Helvetica" w:hAnsi="Helvetica" w:cs="FiraGO"/>
          <w:b/>
          <w:color w:val="002060"/>
          <w:sz w:val="44"/>
          <w:szCs w:val="44"/>
        </w:rPr>
        <w:t>Unstable Housing in Georgia</w:t>
      </w:r>
    </w:p>
    <w:p w14:paraId="7A19A668" w14:textId="77777777" w:rsidR="00AE6740" w:rsidRDefault="000F42A1" w:rsidP="007B673C">
      <w:pPr>
        <w:spacing w:before="240" w:after="240" w:line="240" w:lineRule="auto"/>
        <w:jc w:val="both"/>
        <w:rPr>
          <w:rFonts w:ascii="Helvetica-Light" w:hAnsi="Helvetica-Light" w:cs="FiraGO Book"/>
        </w:rPr>
      </w:pPr>
      <w:r w:rsidRPr="00922293">
        <w:rPr>
          <w:rFonts w:ascii="Helvetica-Light" w:hAnsi="Helvetica-Light" w:cs="FiraGO Book"/>
        </w:rPr>
        <w:t>Unstable housing covers a wide range of circumstances, under which individuals or households cannot sufficiently control their residential environment. This lack of control is often represented by situations in which households experience involuntary residential moves and continue to be exposed to precarious housing conditions.</w:t>
      </w:r>
    </w:p>
    <w:p w14:paraId="5BDF7B39" w14:textId="77777777" w:rsidR="007A151D" w:rsidRPr="00EC01DE" w:rsidRDefault="007A151D" w:rsidP="00146328">
      <w:pPr>
        <w:pStyle w:val="Titolo2"/>
        <w:numPr>
          <w:ilvl w:val="0"/>
          <w:numId w:val="1"/>
        </w:numPr>
        <w:spacing w:after="240" w:line="240" w:lineRule="auto"/>
        <w:jc w:val="both"/>
        <w:rPr>
          <w:rFonts w:ascii="Helvetica" w:hAnsi="Helvetica" w:cstheme="minorHAnsi"/>
          <w:b/>
          <w:color w:val="002060"/>
          <w:sz w:val="28"/>
          <w:szCs w:val="24"/>
        </w:rPr>
      </w:pPr>
      <w:r w:rsidRPr="00EC01DE">
        <w:rPr>
          <w:rFonts w:ascii="Helvetica" w:hAnsi="Helvetica" w:cstheme="minorHAnsi"/>
          <w:b/>
          <w:color w:val="002060"/>
          <w:sz w:val="28"/>
          <w:szCs w:val="24"/>
        </w:rPr>
        <w:t xml:space="preserve">European </w:t>
      </w:r>
      <w:r w:rsidR="00281390" w:rsidRPr="00EC01DE">
        <w:rPr>
          <w:rFonts w:ascii="Helvetica" w:hAnsi="Helvetica" w:cstheme="minorHAnsi"/>
          <w:b/>
          <w:color w:val="002060"/>
          <w:sz w:val="28"/>
          <w:szCs w:val="24"/>
        </w:rPr>
        <w:t>T</w:t>
      </w:r>
      <w:r w:rsidRPr="00EC01DE">
        <w:rPr>
          <w:rFonts w:ascii="Helvetica" w:hAnsi="Helvetica" w:cstheme="minorHAnsi"/>
          <w:b/>
          <w:color w:val="002060"/>
          <w:sz w:val="28"/>
          <w:szCs w:val="24"/>
        </w:rPr>
        <w:t xml:space="preserve">ypology on </w:t>
      </w:r>
      <w:r w:rsidR="00281390" w:rsidRPr="00EC01DE">
        <w:rPr>
          <w:rFonts w:ascii="Helvetica" w:hAnsi="Helvetica" w:cstheme="minorHAnsi"/>
          <w:b/>
          <w:color w:val="002060"/>
          <w:sz w:val="28"/>
          <w:szCs w:val="24"/>
        </w:rPr>
        <w:t>H</w:t>
      </w:r>
      <w:r w:rsidRPr="00EC01DE">
        <w:rPr>
          <w:rFonts w:ascii="Helvetica" w:hAnsi="Helvetica" w:cstheme="minorHAnsi"/>
          <w:b/>
          <w:color w:val="002060"/>
          <w:sz w:val="28"/>
          <w:szCs w:val="24"/>
        </w:rPr>
        <w:t xml:space="preserve">omelessness and </w:t>
      </w:r>
      <w:r w:rsidR="00281390" w:rsidRPr="00EC01DE">
        <w:rPr>
          <w:rFonts w:ascii="Helvetica" w:hAnsi="Helvetica" w:cstheme="minorHAnsi"/>
          <w:b/>
          <w:color w:val="002060"/>
          <w:sz w:val="28"/>
          <w:szCs w:val="24"/>
        </w:rPr>
        <w:t>H</w:t>
      </w:r>
      <w:r w:rsidRPr="00EC01DE">
        <w:rPr>
          <w:rFonts w:ascii="Helvetica" w:hAnsi="Helvetica" w:cstheme="minorHAnsi"/>
          <w:b/>
          <w:color w:val="002060"/>
          <w:sz w:val="28"/>
          <w:szCs w:val="24"/>
        </w:rPr>
        <w:t>ousing</w:t>
      </w:r>
      <w:r w:rsidR="00281390" w:rsidRPr="00EC01DE">
        <w:rPr>
          <w:rFonts w:ascii="Helvetica" w:hAnsi="Helvetica" w:cstheme="minorHAnsi"/>
          <w:b/>
          <w:color w:val="002060"/>
          <w:sz w:val="28"/>
          <w:szCs w:val="24"/>
        </w:rPr>
        <w:t xml:space="preserve"> E</w:t>
      </w:r>
      <w:r w:rsidR="008B59DE">
        <w:rPr>
          <w:rFonts w:ascii="Helvetica" w:hAnsi="Helvetica" w:cstheme="minorHAnsi"/>
          <w:b/>
          <w:color w:val="002060"/>
          <w:sz w:val="28"/>
          <w:szCs w:val="24"/>
        </w:rPr>
        <w:t>xclusion (ETHOS)</w:t>
      </w:r>
    </w:p>
    <w:p w14:paraId="2787132C" w14:textId="77777777" w:rsidR="000F42A1" w:rsidRPr="00922293" w:rsidRDefault="000F42A1" w:rsidP="00146328">
      <w:pPr>
        <w:spacing w:after="240" w:line="240" w:lineRule="auto"/>
        <w:jc w:val="both"/>
        <w:rPr>
          <w:rFonts w:ascii="Helvetica-Light" w:hAnsi="Helvetica-Light" w:cstheme="minorHAnsi"/>
        </w:rPr>
      </w:pPr>
      <w:r w:rsidRPr="00922293">
        <w:rPr>
          <w:rFonts w:ascii="Helvetica-Light" w:hAnsi="Helvetica-Light" w:cstheme="minorHAnsi"/>
        </w:rPr>
        <w:t xml:space="preserve">According to </w:t>
      </w:r>
      <w:r w:rsidR="00B02944" w:rsidRPr="00922293">
        <w:rPr>
          <w:rFonts w:ascii="Helvetica-Light" w:hAnsi="Helvetica-Light" w:cstheme="minorHAnsi"/>
        </w:rPr>
        <w:t xml:space="preserve">the </w:t>
      </w:r>
      <w:r w:rsidR="00B02944" w:rsidRPr="00922293">
        <w:rPr>
          <w:rFonts w:ascii="Helvetica-Light" w:hAnsi="Helvetica-Light" w:cstheme="minorHAnsi"/>
          <w:shd w:val="clear" w:color="auto" w:fill="FFFFFF"/>
        </w:rPr>
        <w:t>European</w:t>
      </w:r>
      <w:r w:rsidRPr="00922293">
        <w:rPr>
          <w:rFonts w:ascii="Helvetica-Light" w:hAnsi="Helvetica-Light" w:cstheme="minorHAnsi"/>
          <w:shd w:val="clear" w:color="auto" w:fill="FFFFFF"/>
        </w:rPr>
        <w:t xml:space="preserve"> Typology on Homelessness and Housing Exclusion (ETHOS)</w:t>
      </w:r>
      <w:r w:rsidRPr="00922293">
        <w:rPr>
          <w:rFonts w:ascii="Helvetica-Light" w:hAnsi="Helvetica-Light" w:cstheme="minorHAnsi"/>
        </w:rPr>
        <w:t xml:space="preserve">, having a home is defined as having an adequate space over which a person and his/her family can exercise exclusive possession, being able to maintain privacy and enjoy relations, and having a legal title to occupation. Based on this definition one can define four main categories of individuals/households facing the problem of </w:t>
      </w:r>
      <w:r w:rsidRPr="00922293">
        <w:rPr>
          <w:rFonts w:ascii="Helvetica-Light" w:hAnsi="Helvetica-Light" w:cstheme="minorHAnsi"/>
          <w:b/>
        </w:rPr>
        <w:t>unstable housing</w:t>
      </w:r>
      <w:r w:rsidRPr="00922293">
        <w:rPr>
          <w:rFonts w:ascii="Helvetica-Light" w:hAnsi="Helvetica-Light" w:cstheme="minorHAnsi"/>
        </w:rPr>
        <w:t>: homeless, roofless, people living insecure and inadequate housing conditions (table 1).</w:t>
      </w:r>
      <w:r w:rsidR="00E21AA8" w:rsidRPr="00922293">
        <w:rPr>
          <w:rStyle w:val="Rimandonotaapidipagina"/>
          <w:rFonts w:ascii="Helvetica-Light" w:hAnsi="Helvetica-Light" w:cstheme="minorHAnsi"/>
        </w:rPr>
        <w:footnoteReference w:id="1"/>
      </w:r>
    </w:p>
    <w:p w14:paraId="03F7542F" w14:textId="77777777" w:rsidR="000F42A1" w:rsidRPr="00AE6740" w:rsidRDefault="000F42A1" w:rsidP="00146328">
      <w:pPr>
        <w:pStyle w:val="Didascalia"/>
        <w:spacing w:after="240"/>
        <w:jc w:val="both"/>
        <w:rPr>
          <w:rFonts w:ascii="Helvetica-Light" w:hAnsi="Helvetica-Light" w:cstheme="minorHAnsi"/>
          <w:b/>
          <w:bCs/>
          <w:i w:val="0"/>
          <w:iCs w:val="0"/>
          <w:sz w:val="20"/>
          <w:szCs w:val="22"/>
        </w:rPr>
      </w:pPr>
      <w:bookmarkStart w:id="0" w:name="_Toc48306131"/>
      <w:r w:rsidRPr="00AE6740">
        <w:rPr>
          <w:rFonts w:ascii="Helvetica-Light" w:hAnsi="Helvetica-Light" w:cstheme="minorHAnsi"/>
          <w:b/>
          <w:bCs/>
          <w:i w:val="0"/>
          <w:iCs w:val="0"/>
          <w:sz w:val="20"/>
          <w:szCs w:val="22"/>
        </w:rPr>
        <w:t xml:space="preserve">Table </w:t>
      </w:r>
      <w:r w:rsidR="00A671A3" w:rsidRPr="00AE6740">
        <w:rPr>
          <w:rFonts w:ascii="Helvetica-Light" w:hAnsi="Helvetica-Light" w:cstheme="minorHAnsi"/>
          <w:b/>
          <w:bCs/>
          <w:i w:val="0"/>
          <w:iCs w:val="0"/>
          <w:sz w:val="20"/>
          <w:szCs w:val="22"/>
        </w:rPr>
        <w:fldChar w:fldCharType="begin"/>
      </w:r>
      <w:r w:rsidRPr="00AE6740">
        <w:rPr>
          <w:rFonts w:ascii="Helvetica-Light" w:hAnsi="Helvetica-Light" w:cstheme="minorHAnsi"/>
          <w:b/>
          <w:bCs/>
          <w:i w:val="0"/>
          <w:iCs w:val="0"/>
          <w:sz w:val="20"/>
          <w:szCs w:val="22"/>
        </w:rPr>
        <w:instrText xml:space="preserve"> SEQ Table \* ARABIC </w:instrText>
      </w:r>
      <w:r w:rsidR="00A671A3" w:rsidRPr="00AE6740">
        <w:rPr>
          <w:rFonts w:ascii="Helvetica-Light" w:hAnsi="Helvetica-Light" w:cstheme="minorHAnsi"/>
          <w:b/>
          <w:bCs/>
          <w:i w:val="0"/>
          <w:iCs w:val="0"/>
          <w:sz w:val="20"/>
          <w:szCs w:val="22"/>
        </w:rPr>
        <w:fldChar w:fldCharType="separate"/>
      </w:r>
      <w:r w:rsidR="00CC20EF" w:rsidRPr="00AE6740">
        <w:rPr>
          <w:rFonts w:ascii="Helvetica-Light" w:hAnsi="Helvetica-Light" w:cstheme="minorHAnsi"/>
          <w:b/>
          <w:bCs/>
          <w:i w:val="0"/>
          <w:iCs w:val="0"/>
          <w:sz w:val="20"/>
          <w:szCs w:val="22"/>
        </w:rPr>
        <w:t>1</w:t>
      </w:r>
      <w:r w:rsidR="00A671A3" w:rsidRPr="00AE6740">
        <w:rPr>
          <w:rFonts w:ascii="Helvetica-Light" w:hAnsi="Helvetica-Light" w:cstheme="minorHAnsi"/>
          <w:b/>
          <w:bCs/>
          <w:i w:val="0"/>
          <w:iCs w:val="0"/>
          <w:sz w:val="20"/>
          <w:szCs w:val="22"/>
        </w:rPr>
        <w:fldChar w:fldCharType="end"/>
      </w:r>
      <w:r w:rsidRPr="00AE6740">
        <w:rPr>
          <w:rFonts w:ascii="Helvetica-Light" w:hAnsi="Helvetica-Light" w:cstheme="minorHAnsi"/>
          <w:b/>
          <w:bCs/>
          <w:i w:val="0"/>
          <w:iCs w:val="0"/>
          <w:sz w:val="20"/>
          <w:szCs w:val="22"/>
        </w:rPr>
        <w:t xml:space="preserve">: </w:t>
      </w:r>
      <w:r w:rsidRPr="00AE6740">
        <w:rPr>
          <w:rFonts w:ascii="Helvetica-Light" w:hAnsi="Helvetica-Light" w:cstheme="minorHAnsi"/>
          <w:bCs/>
          <w:iCs w:val="0"/>
          <w:sz w:val="20"/>
          <w:szCs w:val="22"/>
        </w:rPr>
        <w:t>European Typology on Homelessness and Housing Exclusion (ETHOS)</w:t>
      </w:r>
      <w:bookmarkEnd w:id="0"/>
    </w:p>
    <w:tbl>
      <w:tblPr>
        <w:tblStyle w:val="Tabellagriglia1chiara-colore1"/>
        <w:tblW w:w="0" w:type="auto"/>
        <w:tblLook w:val="04A0" w:firstRow="1" w:lastRow="0" w:firstColumn="1" w:lastColumn="0" w:noHBand="0" w:noVBand="1"/>
      </w:tblPr>
      <w:tblGrid>
        <w:gridCol w:w="1912"/>
        <w:gridCol w:w="2766"/>
        <w:gridCol w:w="3381"/>
        <w:gridCol w:w="2398"/>
      </w:tblGrid>
      <w:tr w:rsidR="00DF3423" w:rsidRPr="00D11BED" w14:paraId="52E31F95" w14:textId="77777777" w:rsidTr="00B20EF7">
        <w:trPr>
          <w:gridAfter w:val="1"/>
          <w:cnfStyle w:val="100000000000" w:firstRow="1" w:lastRow="0" w:firstColumn="0" w:lastColumn="0" w:oddVBand="0" w:evenVBand="0" w:oddHBand="0" w:evenHBand="0" w:firstRowFirstColumn="0" w:firstRowLastColumn="0" w:lastRowFirstColumn="0" w:lastRowLastColumn="0"/>
          <w:wAfter w:w="3627" w:type="dxa"/>
        </w:trPr>
        <w:tc>
          <w:tcPr>
            <w:cnfStyle w:val="001000000000" w:firstRow="0" w:lastRow="0" w:firstColumn="1" w:lastColumn="0" w:oddVBand="0" w:evenVBand="0" w:oddHBand="0" w:evenHBand="0" w:firstRowFirstColumn="0" w:firstRowLastColumn="0" w:lastRowFirstColumn="0" w:lastRowLastColumn="0"/>
            <w:tcW w:w="2245" w:type="dxa"/>
            <w:shd w:val="clear" w:color="auto" w:fill="002060"/>
          </w:tcPr>
          <w:p w14:paraId="654C5AA3" w14:textId="77777777" w:rsidR="00DF3423" w:rsidRPr="004076AD" w:rsidRDefault="00DF3423" w:rsidP="00DF3423">
            <w:pPr>
              <w:jc w:val="center"/>
              <w:rPr>
                <w:rFonts w:cstheme="minorHAnsi"/>
                <w:color w:val="FFFFFF" w:themeColor="background1"/>
              </w:rPr>
            </w:pPr>
            <w:r w:rsidRPr="004076AD">
              <w:rPr>
                <w:rFonts w:cstheme="minorHAnsi"/>
                <w:color w:val="FFFFFF" w:themeColor="background1"/>
              </w:rPr>
              <w:t>Conceptual Category</w:t>
            </w:r>
          </w:p>
        </w:tc>
        <w:tc>
          <w:tcPr>
            <w:tcW w:w="3330" w:type="dxa"/>
            <w:shd w:val="clear" w:color="auto" w:fill="002060"/>
          </w:tcPr>
          <w:p w14:paraId="3D3E0172" w14:textId="77777777" w:rsidR="00DF3423" w:rsidRPr="004076AD" w:rsidRDefault="00DF3423" w:rsidP="00DF3423">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4076AD">
              <w:rPr>
                <w:rFonts w:cstheme="minorHAnsi"/>
                <w:color w:val="FFFFFF" w:themeColor="background1"/>
              </w:rPr>
              <w:t>Operational Category</w:t>
            </w:r>
          </w:p>
        </w:tc>
        <w:tc>
          <w:tcPr>
            <w:tcW w:w="3775" w:type="dxa"/>
            <w:shd w:val="clear" w:color="auto" w:fill="002060"/>
          </w:tcPr>
          <w:p w14:paraId="0ECA5147" w14:textId="77777777" w:rsidR="00DF3423" w:rsidRPr="004076AD" w:rsidRDefault="00DF3423" w:rsidP="00DF3423">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4076AD">
              <w:rPr>
                <w:rFonts w:cstheme="minorHAnsi"/>
                <w:color w:val="FFFFFF" w:themeColor="background1"/>
              </w:rPr>
              <w:t>Living Situation</w:t>
            </w:r>
          </w:p>
          <w:p w14:paraId="029CC2A0" w14:textId="77777777" w:rsidR="00DF3423" w:rsidRPr="004076AD" w:rsidRDefault="00DF3423" w:rsidP="00DF3423">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p>
        </w:tc>
      </w:tr>
      <w:tr w:rsidR="00DF3423" w:rsidRPr="00D11BED" w14:paraId="5A30713F"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6E3F7E74" w14:textId="77777777" w:rsidR="00DF3423" w:rsidRPr="00D11BED" w:rsidRDefault="00DF3423" w:rsidP="00DF3423">
            <w:pPr>
              <w:jc w:val="both"/>
              <w:rPr>
                <w:rFonts w:cstheme="minorHAnsi"/>
              </w:rPr>
            </w:pPr>
            <w:r w:rsidRPr="00D11BED">
              <w:rPr>
                <w:rFonts w:cstheme="minorHAnsi"/>
              </w:rPr>
              <w:t>Roofless</w:t>
            </w:r>
          </w:p>
        </w:tc>
        <w:tc>
          <w:tcPr>
            <w:tcW w:w="3330" w:type="dxa"/>
          </w:tcPr>
          <w:p w14:paraId="14E32B7E"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rough</w:t>
            </w:r>
          </w:p>
        </w:tc>
        <w:tc>
          <w:tcPr>
            <w:tcW w:w="3775" w:type="dxa"/>
          </w:tcPr>
          <w:p w14:paraId="6A084448"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Public or external space</w:t>
            </w:r>
          </w:p>
        </w:tc>
      </w:tr>
      <w:tr w:rsidR="00DF3423" w:rsidRPr="00D11BED" w14:paraId="564F423B"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0F7557BB" w14:textId="77777777" w:rsidR="00DF3423" w:rsidRPr="00D11BED" w:rsidRDefault="00DF3423" w:rsidP="00DF3423">
            <w:pPr>
              <w:jc w:val="both"/>
              <w:rPr>
                <w:rFonts w:cstheme="minorHAnsi"/>
              </w:rPr>
            </w:pPr>
          </w:p>
        </w:tc>
        <w:tc>
          <w:tcPr>
            <w:tcW w:w="3330" w:type="dxa"/>
          </w:tcPr>
          <w:p w14:paraId="23B34C3F"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staying in a night shelter</w:t>
            </w:r>
          </w:p>
        </w:tc>
        <w:tc>
          <w:tcPr>
            <w:tcW w:w="3775" w:type="dxa"/>
          </w:tcPr>
          <w:p w14:paraId="3080BFEA"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Night shelter</w:t>
            </w:r>
          </w:p>
        </w:tc>
      </w:tr>
      <w:tr w:rsidR="00DF3423" w:rsidRPr="00D11BED" w14:paraId="7BA2C5A9"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39ACC38D" w14:textId="77777777" w:rsidR="00DF3423" w:rsidRPr="00D11BED" w:rsidRDefault="00DF3423" w:rsidP="00DF3423">
            <w:pPr>
              <w:jc w:val="both"/>
              <w:rPr>
                <w:rFonts w:cstheme="minorHAnsi"/>
              </w:rPr>
            </w:pPr>
            <w:r w:rsidRPr="00D11BED">
              <w:rPr>
                <w:rFonts w:cstheme="minorHAnsi"/>
              </w:rPr>
              <w:t>Homeless</w:t>
            </w:r>
          </w:p>
        </w:tc>
        <w:tc>
          <w:tcPr>
            <w:tcW w:w="3330" w:type="dxa"/>
          </w:tcPr>
          <w:p w14:paraId="33D6C433"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in accommodation for the homeless</w:t>
            </w:r>
          </w:p>
        </w:tc>
        <w:tc>
          <w:tcPr>
            <w:tcW w:w="3775" w:type="dxa"/>
          </w:tcPr>
          <w:p w14:paraId="5131B969"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Homeless hostel</w:t>
            </w:r>
          </w:p>
        </w:tc>
      </w:tr>
      <w:tr w:rsidR="00DF3423" w:rsidRPr="00D11BED" w14:paraId="25121920"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2E85E067" w14:textId="77777777" w:rsidR="00DF3423" w:rsidRPr="00D11BED" w:rsidRDefault="00DF3423" w:rsidP="00DF3423">
            <w:pPr>
              <w:jc w:val="both"/>
              <w:rPr>
                <w:rFonts w:cstheme="minorHAnsi"/>
              </w:rPr>
            </w:pPr>
          </w:p>
        </w:tc>
        <w:tc>
          <w:tcPr>
            <w:tcW w:w="3330" w:type="dxa"/>
          </w:tcPr>
          <w:p w14:paraId="60FE9A92"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in women’s shelter</w:t>
            </w:r>
          </w:p>
        </w:tc>
        <w:tc>
          <w:tcPr>
            <w:tcW w:w="3775" w:type="dxa"/>
          </w:tcPr>
          <w:p w14:paraId="227CB400"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Women’s shelter accommodation</w:t>
            </w:r>
          </w:p>
        </w:tc>
      </w:tr>
      <w:tr w:rsidR="00DF3423" w:rsidRPr="00D11BED" w14:paraId="200F08E5"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425AB226" w14:textId="77777777" w:rsidR="00DF3423" w:rsidRPr="00D11BED" w:rsidRDefault="00DF3423" w:rsidP="00DF3423">
            <w:pPr>
              <w:jc w:val="both"/>
              <w:rPr>
                <w:rFonts w:cstheme="minorHAnsi"/>
              </w:rPr>
            </w:pPr>
          </w:p>
        </w:tc>
        <w:tc>
          <w:tcPr>
            <w:tcW w:w="3330" w:type="dxa"/>
          </w:tcPr>
          <w:p w14:paraId="2C712742"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in accommodation for immigrants</w:t>
            </w:r>
          </w:p>
        </w:tc>
        <w:tc>
          <w:tcPr>
            <w:tcW w:w="3775" w:type="dxa"/>
          </w:tcPr>
          <w:p w14:paraId="0BFBE573"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Temporary accommodation/reception centers;</w:t>
            </w:r>
          </w:p>
          <w:p w14:paraId="599E116B"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Migrant workers accommodations</w:t>
            </w:r>
          </w:p>
        </w:tc>
      </w:tr>
      <w:tr w:rsidR="00DF3423" w:rsidRPr="00D11BED" w14:paraId="01D5C360"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7BD4F68E" w14:textId="77777777" w:rsidR="00DF3423" w:rsidRPr="00D11BED" w:rsidRDefault="00DF3423" w:rsidP="00DF3423">
            <w:pPr>
              <w:jc w:val="both"/>
              <w:rPr>
                <w:rFonts w:cstheme="minorHAnsi"/>
              </w:rPr>
            </w:pPr>
          </w:p>
        </w:tc>
        <w:tc>
          <w:tcPr>
            <w:tcW w:w="3330" w:type="dxa"/>
          </w:tcPr>
          <w:p w14:paraId="34039CB9"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due to be released from institutions</w:t>
            </w:r>
          </w:p>
        </w:tc>
        <w:tc>
          <w:tcPr>
            <w:tcW w:w="3775" w:type="dxa"/>
          </w:tcPr>
          <w:p w14:paraId="09A037DB"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Penal institutions;</w:t>
            </w:r>
          </w:p>
          <w:p w14:paraId="628B8D72"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Medical institutions;</w:t>
            </w:r>
          </w:p>
          <w:p w14:paraId="1EBE33CB"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Children’s institutions/homes</w:t>
            </w:r>
          </w:p>
        </w:tc>
      </w:tr>
      <w:tr w:rsidR="00DF3423" w:rsidRPr="00D11BED" w14:paraId="232D2E1C"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00B4D813" w14:textId="77777777" w:rsidR="00DF3423" w:rsidRPr="00D11BED" w:rsidRDefault="00DF3423" w:rsidP="00DF3423">
            <w:pPr>
              <w:jc w:val="both"/>
              <w:rPr>
                <w:rFonts w:cstheme="minorHAnsi"/>
              </w:rPr>
            </w:pPr>
          </w:p>
        </w:tc>
        <w:tc>
          <w:tcPr>
            <w:tcW w:w="3330" w:type="dxa"/>
          </w:tcPr>
          <w:p w14:paraId="34D20C19"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receiving longer-term support (due to homelessness)</w:t>
            </w:r>
          </w:p>
        </w:tc>
        <w:tc>
          <w:tcPr>
            <w:tcW w:w="3775" w:type="dxa"/>
          </w:tcPr>
          <w:p w14:paraId="7926F895"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Residential care for older homeless people;</w:t>
            </w:r>
          </w:p>
          <w:p w14:paraId="671B738F"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Supported accommodati</w:t>
            </w:r>
            <w:r>
              <w:rPr>
                <w:rFonts w:cstheme="minorHAnsi"/>
              </w:rPr>
              <w:t>on for formerly homeless people</w:t>
            </w:r>
          </w:p>
        </w:tc>
      </w:tr>
      <w:tr w:rsidR="00DF3423" w:rsidRPr="00D11BED" w14:paraId="56115A89"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174EB700" w14:textId="77777777" w:rsidR="00DF3423" w:rsidRPr="00D11BED" w:rsidRDefault="00DF3423" w:rsidP="00DF3423">
            <w:pPr>
              <w:jc w:val="both"/>
              <w:rPr>
                <w:rFonts w:cstheme="minorHAnsi"/>
              </w:rPr>
            </w:pPr>
            <w:r w:rsidRPr="00D11BED">
              <w:rPr>
                <w:rFonts w:cstheme="minorHAnsi"/>
              </w:rPr>
              <w:t>Insecure</w:t>
            </w:r>
          </w:p>
        </w:tc>
        <w:tc>
          <w:tcPr>
            <w:tcW w:w="3330" w:type="dxa"/>
          </w:tcPr>
          <w:p w14:paraId="41CF31C6"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insecure accommodation</w:t>
            </w:r>
          </w:p>
        </w:tc>
        <w:tc>
          <w:tcPr>
            <w:tcW w:w="3775" w:type="dxa"/>
          </w:tcPr>
          <w:p w14:paraId="44B54A4D"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Temporarily with family/friends;</w:t>
            </w:r>
          </w:p>
          <w:p w14:paraId="79F04FD9"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No legal (sub)tenancy;</w:t>
            </w:r>
          </w:p>
          <w:p w14:paraId="13343CE8"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Illegal occupation of land</w:t>
            </w:r>
          </w:p>
        </w:tc>
      </w:tr>
      <w:tr w:rsidR="00DF3423" w:rsidRPr="00D11BED" w14:paraId="70AEE4EC"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72CB13D5" w14:textId="77777777" w:rsidR="00DF3423" w:rsidRPr="00D11BED" w:rsidRDefault="00DF3423" w:rsidP="00DF3423">
            <w:pPr>
              <w:jc w:val="both"/>
              <w:rPr>
                <w:rFonts w:cstheme="minorHAnsi"/>
              </w:rPr>
            </w:pPr>
          </w:p>
        </w:tc>
        <w:tc>
          <w:tcPr>
            <w:tcW w:w="3330" w:type="dxa"/>
          </w:tcPr>
          <w:p w14:paraId="73C4B8F4"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under threat of eviction</w:t>
            </w:r>
          </w:p>
        </w:tc>
        <w:tc>
          <w:tcPr>
            <w:tcW w:w="3775" w:type="dxa"/>
          </w:tcPr>
          <w:p w14:paraId="5CF85C1B"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Legal orders enforced (rented);</w:t>
            </w:r>
          </w:p>
          <w:p w14:paraId="3EF24E34"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Re-possession orders (owned)</w:t>
            </w:r>
          </w:p>
        </w:tc>
      </w:tr>
      <w:tr w:rsidR="00DF3423" w:rsidRPr="00D11BED" w14:paraId="2861E358"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00912F3E" w14:textId="77777777" w:rsidR="00DF3423" w:rsidRPr="00D11BED" w:rsidRDefault="00DF3423" w:rsidP="00DF3423">
            <w:pPr>
              <w:jc w:val="both"/>
              <w:rPr>
                <w:rFonts w:cstheme="minorHAnsi"/>
              </w:rPr>
            </w:pPr>
          </w:p>
        </w:tc>
        <w:tc>
          <w:tcPr>
            <w:tcW w:w="3330" w:type="dxa"/>
          </w:tcPr>
          <w:p w14:paraId="5CCE1A97"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under threaten of violence</w:t>
            </w:r>
          </w:p>
        </w:tc>
        <w:tc>
          <w:tcPr>
            <w:tcW w:w="3775" w:type="dxa"/>
          </w:tcPr>
          <w:p w14:paraId="69DEEE1E"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Police recorded indicators</w:t>
            </w:r>
          </w:p>
        </w:tc>
      </w:tr>
      <w:tr w:rsidR="00DF3423" w:rsidRPr="00D11BED" w14:paraId="50D53341"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val="restart"/>
          </w:tcPr>
          <w:p w14:paraId="4E5B76C4" w14:textId="77777777" w:rsidR="00DF3423" w:rsidRPr="00D11BED" w:rsidRDefault="00DF3423" w:rsidP="00DF3423">
            <w:pPr>
              <w:jc w:val="both"/>
              <w:rPr>
                <w:rFonts w:cstheme="minorHAnsi"/>
              </w:rPr>
            </w:pPr>
            <w:r w:rsidRPr="00D11BED">
              <w:rPr>
                <w:rFonts w:cstheme="minorHAnsi"/>
              </w:rPr>
              <w:t>Inadequate</w:t>
            </w:r>
          </w:p>
        </w:tc>
        <w:tc>
          <w:tcPr>
            <w:tcW w:w="3330" w:type="dxa"/>
          </w:tcPr>
          <w:p w14:paraId="25E82834"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temporary/non-conventional structures</w:t>
            </w:r>
          </w:p>
        </w:tc>
        <w:tc>
          <w:tcPr>
            <w:tcW w:w="3775" w:type="dxa"/>
          </w:tcPr>
          <w:p w14:paraId="565B150D"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Mobile homes;</w:t>
            </w:r>
          </w:p>
          <w:p w14:paraId="7F437C78"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Non-conventional building;</w:t>
            </w:r>
          </w:p>
          <w:p w14:paraId="5B0B053F"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Temporary structure</w:t>
            </w:r>
          </w:p>
        </w:tc>
      </w:tr>
      <w:tr w:rsidR="00DF3423" w:rsidRPr="00D11BED" w14:paraId="41FFF16A" w14:textId="77777777" w:rsidTr="00B20EF7">
        <w:trPr>
          <w:gridAfter w:val="1"/>
          <w:wAfter w:w="3627" w:type="dxa"/>
        </w:trPr>
        <w:tc>
          <w:tcPr>
            <w:cnfStyle w:val="001000000000" w:firstRow="0" w:lastRow="0" w:firstColumn="1" w:lastColumn="0" w:oddVBand="0" w:evenVBand="0" w:oddHBand="0" w:evenHBand="0" w:firstRowFirstColumn="0" w:firstRowLastColumn="0" w:lastRowFirstColumn="0" w:lastRowLastColumn="0"/>
            <w:tcW w:w="2245" w:type="dxa"/>
            <w:vMerge/>
          </w:tcPr>
          <w:p w14:paraId="1E1C17A3" w14:textId="77777777" w:rsidR="00DF3423" w:rsidRPr="00D11BED" w:rsidRDefault="00DF3423" w:rsidP="00DF3423">
            <w:pPr>
              <w:jc w:val="both"/>
              <w:rPr>
                <w:rFonts w:cstheme="minorHAnsi"/>
              </w:rPr>
            </w:pPr>
          </w:p>
        </w:tc>
        <w:tc>
          <w:tcPr>
            <w:tcW w:w="3330" w:type="dxa"/>
          </w:tcPr>
          <w:p w14:paraId="36C38595"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unfit housing</w:t>
            </w:r>
          </w:p>
        </w:tc>
        <w:tc>
          <w:tcPr>
            <w:tcW w:w="3775" w:type="dxa"/>
          </w:tcPr>
          <w:p w14:paraId="05E875E8" w14:textId="77777777" w:rsidR="00DF3423" w:rsidRPr="00D11BED" w:rsidRDefault="00DF3423" w:rsidP="00DF3423">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Occupied dwellings unfit for habitation</w:t>
            </w:r>
          </w:p>
        </w:tc>
      </w:tr>
      <w:tr w:rsidR="00DF3423" w:rsidRPr="00D11BED" w14:paraId="1F1200EC" w14:textId="77777777" w:rsidTr="00B20EF7">
        <w:trPr>
          <w:gridAfter w:val="1"/>
          <w:wAfter w:w="3627" w:type="dxa"/>
          <w:trHeight w:val="56"/>
        </w:trPr>
        <w:tc>
          <w:tcPr>
            <w:cnfStyle w:val="001000000000" w:firstRow="0" w:lastRow="0" w:firstColumn="1" w:lastColumn="0" w:oddVBand="0" w:evenVBand="0" w:oddHBand="0" w:evenHBand="0" w:firstRowFirstColumn="0" w:firstRowLastColumn="0" w:lastRowFirstColumn="0" w:lastRowLastColumn="0"/>
            <w:tcW w:w="2245" w:type="dxa"/>
            <w:vMerge/>
          </w:tcPr>
          <w:p w14:paraId="12DD48D3" w14:textId="77777777" w:rsidR="00DF3423" w:rsidRPr="00D11BED" w:rsidRDefault="00DF3423" w:rsidP="00DF3423">
            <w:pPr>
              <w:jc w:val="both"/>
              <w:rPr>
                <w:rFonts w:cstheme="minorHAnsi"/>
              </w:rPr>
            </w:pPr>
          </w:p>
        </w:tc>
        <w:tc>
          <w:tcPr>
            <w:tcW w:w="3330" w:type="dxa"/>
          </w:tcPr>
          <w:p w14:paraId="4E3F8DE9"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extreme overcrowding</w:t>
            </w:r>
          </w:p>
        </w:tc>
        <w:tc>
          <w:tcPr>
            <w:tcW w:w="3775" w:type="dxa"/>
          </w:tcPr>
          <w:p w14:paraId="7733F384" w14:textId="77777777" w:rsidR="00DF3423" w:rsidRPr="00D11BED" w:rsidRDefault="00DF3423" w:rsidP="00DF3423">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Highest</w:t>
            </w:r>
            <w:r>
              <w:rPr>
                <w:rFonts w:cstheme="minorHAnsi"/>
              </w:rPr>
              <w:t xml:space="preserve"> national norm of overcrowding</w:t>
            </w:r>
          </w:p>
        </w:tc>
      </w:tr>
      <w:tr w:rsidR="00C2090D" w:rsidRPr="00D11BED" w14:paraId="2B786665" w14:textId="77777777" w:rsidTr="00C2090D">
        <w:tc>
          <w:tcPr>
            <w:cnfStyle w:val="001000000000" w:firstRow="0" w:lastRow="0" w:firstColumn="1" w:lastColumn="0" w:oddVBand="0" w:evenVBand="0" w:oddHBand="0" w:evenHBand="0" w:firstRowFirstColumn="0" w:firstRowLastColumn="0" w:lastRowFirstColumn="0" w:lastRowLastColumn="0"/>
            <w:tcW w:w="2199" w:type="dxa"/>
            <w:shd w:val="clear" w:color="auto" w:fill="002060"/>
          </w:tcPr>
          <w:p w14:paraId="4AA1F5E5" w14:textId="77777777" w:rsidR="00C2090D" w:rsidRPr="004076AD" w:rsidRDefault="00C2090D" w:rsidP="00B20EF7">
            <w:pPr>
              <w:jc w:val="center"/>
              <w:rPr>
                <w:rFonts w:cstheme="minorHAnsi"/>
                <w:color w:val="FFFFFF" w:themeColor="background1"/>
              </w:rPr>
            </w:pPr>
            <w:r w:rsidRPr="004076AD">
              <w:rPr>
                <w:rFonts w:cstheme="minorHAnsi"/>
                <w:color w:val="FFFFFF" w:themeColor="background1"/>
              </w:rPr>
              <w:t>Conceptual Category</w:t>
            </w:r>
          </w:p>
        </w:tc>
        <w:tc>
          <w:tcPr>
            <w:tcW w:w="3251" w:type="dxa"/>
            <w:shd w:val="clear" w:color="auto" w:fill="002060"/>
          </w:tcPr>
          <w:p w14:paraId="42632596" w14:textId="77777777" w:rsidR="00C2090D" w:rsidRPr="004076AD" w:rsidRDefault="00C2090D" w:rsidP="00B20EF7">
            <w:pPr>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4076AD">
              <w:rPr>
                <w:rFonts w:cstheme="minorHAnsi"/>
                <w:color w:val="FFFFFF" w:themeColor="background1"/>
              </w:rPr>
              <w:t>Operational Category</w:t>
            </w:r>
          </w:p>
        </w:tc>
        <w:tc>
          <w:tcPr>
            <w:tcW w:w="3720" w:type="dxa"/>
            <w:gridSpan w:val="2"/>
            <w:shd w:val="clear" w:color="auto" w:fill="002060"/>
          </w:tcPr>
          <w:p w14:paraId="70A5CBB3" w14:textId="77777777" w:rsidR="00C2090D" w:rsidRPr="004076AD" w:rsidRDefault="00C2090D" w:rsidP="00B20EF7">
            <w:pPr>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r w:rsidRPr="004076AD">
              <w:rPr>
                <w:rFonts w:cstheme="minorHAnsi"/>
                <w:color w:val="FFFFFF" w:themeColor="background1"/>
              </w:rPr>
              <w:t>Living Situation</w:t>
            </w:r>
          </w:p>
          <w:p w14:paraId="2384748F" w14:textId="77777777" w:rsidR="00C2090D" w:rsidRPr="004076AD" w:rsidRDefault="00C2090D" w:rsidP="00B20EF7">
            <w:pPr>
              <w:jc w:val="center"/>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rPr>
            </w:pPr>
          </w:p>
        </w:tc>
      </w:tr>
      <w:tr w:rsidR="00C2090D" w:rsidRPr="00D11BED" w14:paraId="0206020C"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val="restart"/>
          </w:tcPr>
          <w:p w14:paraId="44FCFF5E" w14:textId="77777777" w:rsidR="00C2090D" w:rsidRPr="00D11BED" w:rsidRDefault="00C2090D" w:rsidP="00B20EF7">
            <w:pPr>
              <w:jc w:val="both"/>
              <w:rPr>
                <w:rFonts w:cstheme="minorHAnsi"/>
              </w:rPr>
            </w:pPr>
            <w:r w:rsidRPr="00D11BED">
              <w:rPr>
                <w:rFonts w:cstheme="minorHAnsi"/>
              </w:rPr>
              <w:t>Roofless</w:t>
            </w:r>
          </w:p>
        </w:tc>
        <w:tc>
          <w:tcPr>
            <w:tcW w:w="3251" w:type="dxa"/>
          </w:tcPr>
          <w:p w14:paraId="38DD8859"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rough</w:t>
            </w:r>
          </w:p>
        </w:tc>
        <w:tc>
          <w:tcPr>
            <w:tcW w:w="3720" w:type="dxa"/>
            <w:gridSpan w:val="2"/>
          </w:tcPr>
          <w:p w14:paraId="25C497F3"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Public or external space</w:t>
            </w:r>
          </w:p>
        </w:tc>
      </w:tr>
      <w:tr w:rsidR="00C2090D" w:rsidRPr="00D11BED" w14:paraId="7844D550"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3B8945C0" w14:textId="77777777" w:rsidR="00C2090D" w:rsidRPr="00D11BED" w:rsidRDefault="00C2090D" w:rsidP="00B20EF7">
            <w:pPr>
              <w:jc w:val="both"/>
              <w:rPr>
                <w:rFonts w:cstheme="minorHAnsi"/>
              </w:rPr>
            </w:pPr>
          </w:p>
        </w:tc>
        <w:tc>
          <w:tcPr>
            <w:tcW w:w="3251" w:type="dxa"/>
          </w:tcPr>
          <w:p w14:paraId="1C45A3DB"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staying in a night shelter</w:t>
            </w:r>
          </w:p>
        </w:tc>
        <w:tc>
          <w:tcPr>
            <w:tcW w:w="3720" w:type="dxa"/>
            <w:gridSpan w:val="2"/>
          </w:tcPr>
          <w:p w14:paraId="36ABCF84"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Night shelter</w:t>
            </w:r>
          </w:p>
        </w:tc>
      </w:tr>
      <w:tr w:rsidR="00C2090D" w:rsidRPr="00D11BED" w14:paraId="25B002E7"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val="restart"/>
          </w:tcPr>
          <w:p w14:paraId="03B86084" w14:textId="77777777" w:rsidR="00C2090D" w:rsidRPr="00D11BED" w:rsidRDefault="00C2090D" w:rsidP="00B20EF7">
            <w:pPr>
              <w:jc w:val="both"/>
              <w:rPr>
                <w:rFonts w:cstheme="minorHAnsi"/>
              </w:rPr>
            </w:pPr>
            <w:r w:rsidRPr="00D11BED">
              <w:rPr>
                <w:rFonts w:cstheme="minorHAnsi"/>
              </w:rPr>
              <w:t>Homeless</w:t>
            </w:r>
          </w:p>
        </w:tc>
        <w:tc>
          <w:tcPr>
            <w:tcW w:w="3251" w:type="dxa"/>
          </w:tcPr>
          <w:p w14:paraId="535B6492"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in accommodation for the homeless</w:t>
            </w:r>
          </w:p>
        </w:tc>
        <w:tc>
          <w:tcPr>
            <w:tcW w:w="3720" w:type="dxa"/>
            <w:gridSpan w:val="2"/>
          </w:tcPr>
          <w:p w14:paraId="742E0CDA"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Homeless hostel</w:t>
            </w:r>
          </w:p>
        </w:tc>
      </w:tr>
      <w:tr w:rsidR="00C2090D" w:rsidRPr="00D11BED" w14:paraId="5D63F8C6"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6C6C2D8F" w14:textId="77777777" w:rsidR="00C2090D" w:rsidRPr="00D11BED" w:rsidRDefault="00C2090D" w:rsidP="00B20EF7">
            <w:pPr>
              <w:jc w:val="both"/>
              <w:rPr>
                <w:rFonts w:cstheme="minorHAnsi"/>
              </w:rPr>
            </w:pPr>
          </w:p>
        </w:tc>
        <w:tc>
          <w:tcPr>
            <w:tcW w:w="3251" w:type="dxa"/>
          </w:tcPr>
          <w:p w14:paraId="0D1CB865"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in women’s shelter</w:t>
            </w:r>
          </w:p>
        </w:tc>
        <w:tc>
          <w:tcPr>
            <w:tcW w:w="3720" w:type="dxa"/>
            <w:gridSpan w:val="2"/>
          </w:tcPr>
          <w:p w14:paraId="21DAAE78"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Women’s shelter accommodation</w:t>
            </w:r>
          </w:p>
        </w:tc>
      </w:tr>
      <w:tr w:rsidR="00C2090D" w:rsidRPr="00D11BED" w14:paraId="545DDAEF"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5F4BB332" w14:textId="77777777" w:rsidR="00C2090D" w:rsidRPr="00D11BED" w:rsidRDefault="00C2090D" w:rsidP="00B20EF7">
            <w:pPr>
              <w:jc w:val="both"/>
              <w:rPr>
                <w:rFonts w:cstheme="minorHAnsi"/>
              </w:rPr>
            </w:pPr>
          </w:p>
        </w:tc>
        <w:tc>
          <w:tcPr>
            <w:tcW w:w="3251" w:type="dxa"/>
          </w:tcPr>
          <w:p w14:paraId="76267B40"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in accommodation for immigrants</w:t>
            </w:r>
          </w:p>
        </w:tc>
        <w:tc>
          <w:tcPr>
            <w:tcW w:w="3720" w:type="dxa"/>
            <w:gridSpan w:val="2"/>
          </w:tcPr>
          <w:p w14:paraId="3D532A48"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Temporary accommodation/reception centers;</w:t>
            </w:r>
          </w:p>
          <w:p w14:paraId="3A89D284"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Migrant workers accommodations</w:t>
            </w:r>
          </w:p>
        </w:tc>
      </w:tr>
      <w:tr w:rsidR="00C2090D" w:rsidRPr="00D11BED" w14:paraId="4FCE1C51"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2FA4D984" w14:textId="77777777" w:rsidR="00C2090D" w:rsidRPr="00D11BED" w:rsidRDefault="00C2090D" w:rsidP="00B20EF7">
            <w:pPr>
              <w:jc w:val="both"/>
              <w:rPr>
                <w:rFonts w:cstheme="minorHAnsi"/>
              </w:rPr>
            </w:pPr>
          </w:p>
        </w:tc>
        <w:tc>
          <w:tcPr>
            <w:tcW w:w="3251" w:type="dxa"/>
          </w:tcPr>
          <w:p w14:paraId="62397CDC"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due to be released from institutions</w:t>
            </w:r>
          </w:p>
        </w:tc>
        <w:tc>
          <w:tcPr>
            <w:tcW w:w="3720" w:type="dxa"/>
            <w:gridSpan w:val="2"/>
          </w:tcPr>
          <w:p w14:paraId="5277F0F1"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Penal institutions;</w:t>
            </w:r>
          </w:p>
          <w:p w14:paraId="5E633267"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Medical institutions;</w:t>
            </w:r>
          </w:p>
          <w:p w14:paraId="1E9185FE"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Children’s institutions/homes</w:t>
            </w:r>
          </w:p>
        </w:tc>
      </w:tr>
      <w:tr w:rsidR="00C2090D" w:rsidRPr="00D11BED" w14:paraId="013A904F"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31212E5C" w14:textId="77777777" w:rsidR="00C2090D" w:rsidRPr="00D11BED" w:rsidRDefault="00C2090D" w:rsidP="00B20EF7">
            <w:pPr>
              <w:jc w:val="both"/>
              <w:rPr>
                <w:rFonts w:cstheme="minorHAnsi"/>
              </w:rPr>
            </w:pPr>
          </w:p>
        </w:tc>
        <w:tc>
          <w:tcPr>
            <w:tcW w:w="3251" w:type="dxa"/>
          </w:tcPr>
          <w:p w14:paraId="60FC5E94"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receiving longer-term support (due to homelessness)</w:t>
            </w:r>
          </w:p>
        </w:tc>
        <w:tc>
          <w:tcPr>
            <w:tcW w:w="3720" w:type="dxa"/>
            <w:gridSpan w:val="2"/>
          </w:tcPr>
          <w:p w14:paraId="4CC547D4"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Residential care for older homeless people;</w:t>
            </w:r>
          </w:p>
          <w:p w14:paraId="476177B7"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Supported accommodati</w:t>
            </w:r>
            <w:r>
              <w:rPr>
                <w:rFonts w:cstheme="minorHAnsi"/>
              </w:rPr>
              <w:t>on for formerly homeless people</w:t>
            </w:r>
          </w:p>
        </w:tc>
      </w:tr>
      <w:tr w:rsidR="00C2090D" w:rsidRPr="00D11BED" w14:paraId="7C08572A"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val="restart"/>
          </w:tcPr>
          <w:p w14:paraId="3EBEDE99" w14:textId="77777777" w:rsidR="00C2090D" w:rsidRPr="00D11BED" w:rsidRDefault="00C2090D" w:rsidP="00B20EF7">
            <w:pPr>
              <w:jc w:val="both"/>
              <w:rPr>
                <w:rFonts w:cstheme="minorHAnsi"/>
              </w:rPr>
            </w:pPr>
            <w:r w:rsidRPr="00D11BED">
              <w:rPr>
                <w:rFonts w:cstheme="minorHAnsi"/>
              </w:rPr>
              <w:t>Insecure</w:t>
            </w:r>
          </w:p>
        </w:tc>
        <w:tc>
          <w:tcPr>
            <w:tcW w:w="3251" w:type="dxa"/>
          </w:tcPr>
          <w:p w14:paraId="3B6E5A64"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insecure accommodation</w:t>
            </w:r>
          </w:p>
        </w:tc>
        <w:tc>
          <w:tcPr>
            <w:tcW w:w="3720" w:type="dxa"/>
            <w:gridSpan w:val="2"/>
          </w:tcPr>
          <w:p w14:paraId="138E8639"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Temporarily with family/friends;</w:t>
            </w:r>
          </w:p>
          <w:p w14:paraId="5DBFEEA7"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No legal (sub)tenancy;</w:t>
            </w:r>
          </w:p>
          <w:p w14:paraId="2733747B"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Illegal occupation of land</w:t>
            </w:r>
          </w:p>
        </w:tc>
      </w:tr>
      <w:tr w:rsidR="00C2090D" w:rsidRPr="00D11BED" w14:paraId="1362A8EE"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6704E735" w14:textId="77777777" w:rsidR="00C2090D" w:rsidRPr="00D11BED" w:rsidRDefault="00C2090D" w:rsidP="00B20EF7">
            <w:pPr>
              <w:jc w:val="both"/>
              <w:rPr>
                <w:rFonts w:cstheme="minorHAnsi"/>
              </w:rPr>
            </w:pPr>
          </w:p>
        </w:tc>
        <w:tc>
          <w:tcPr>
            <w:tcW w:w="3251" w:type="dxa"/>
          </w:tcPr>
          <w:p w14:paraId="4226CD52"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under threat of eviction</w:t>
            </w:r>
          </w:p>
        </w:tc>
        <w:tc>
          <w:tcPr>
            <w:tcW w:w="3720" w:type="dxa"/>
            <w:gridSpan w:val="2"/>
          </w:tcPr>
          <w:p w14:paraId="659FA04C"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Legal orders enforced (rented);</w:t>
            </w:r>
          </w:p>
          <w:p w14:paraId="37D577D3"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Re-possession orders (owned)</w:t>
            </w:r>
          </w:p>
        </w:tc>
      </w:tr>
      <w:tr w:rsidR="00C2090D" w:rsidRPr="00D11BED" w14:paraId="0249EB8A"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4AF76CAE" w14:textId="77777777" w:rsidR="00C2090D" w:rsidRPr="00D11BED" w:rsidRDefault="00C2090D" w:rsidP="00B20EF7">
            <w:pPr>
              <w:jc w:val="both"/>
              <w:rPr>
                <w:rFonts w:cstheme="minorHAnsi"/>
              </w:rPr>
            </w:pPr>
          </w:p>
        </w:tc>
        <w:tc>
          <w:tcPr>
            <w:tcW w:w="3251" w:type="dxa"/>
          </w:tcPr>
          <w:p w14:paraId="11112E39"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under threaten of violence</w:t>
            </w:r>
          </w:p>
        </w:tc>
        <w:tc>
          <w:tcPr>
            <w:tcW w:w="3720" w:type="dxa"/>
            <w:gridSpan w:val="2"/>
          </w:tcPr>
          <w:p w14:paraId="5B270078"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Police recorded indicators</w:t>
            </w:r>
          </w:p>
        </w:tc>
      </w:tr>
      <w:tr w:rsidR="00C2090D" w:rsidRPr="00D11BED" w14:paraId="028E8BC6"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val="restart"/>
          </w:tcPr>
          <w:p w14:paraId="68DDCED8" w14:textId="77777777" w:rsidR="00C2090D" w:rsidRPr="00D11BED" w:rsidRDefault="00C2090D" w:rsidP="00B20EF7">
            <w:pPr>
              <w:jc w:val="both"/>
              <w:rPr>
                <w:rFonts w:cstheme="minorHAnsi"/>
              </w:rPr>
            </w:pPr>
            <w:r w:rsidRPr="00D11BED">
              <w:rPr>
                <w:rFonts w:cstheme="minorHAnsi"/>
              </w:rPr>
              <w:lastRenderedPageBreak/>
              <w:t>Inadequate</w:t>
            </w:r>
          </w:p>
        </w:tc>
        <w:tc>
          <w:tcPr>
            <w:tcW w:w="3251" w:type="dxa"/>
          </w:tcPr>
          <w:p w14:paraId="205519C7"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temporary/non-conventional structures</w:t>
            </w:r>
          </w:p>
        </w:tc>
        <w:tc>
          <w:tcPr>
            <w:tcW w:w="3720" w:type="dxa"/>
            <w:gridSpan w:val="2"/>
          </w:tcPr>
          <w:p w14:paraId="7BCAA195"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Mobile homes;</w:t>
            </w:r>
          </w:p>
          <w:p w14:paraId="27A5DD79"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Non-conventional building;</w:t>
            </w:r>
          </w:p>
          <w:p w14:paraId="212E26AD"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Temporary structure</w:t>
            </w:r>
          </w:p>
        </w:tc>
      </w:tr>
      <w:tr w:rsidR="00C2090D" w:rsidRPr="00D11BED" w14:paraId="713CDDC5" w14:textId="77777777" w:rsidTr="00C2090D">
        <w:tc>
          <w:tcPr>
            <w:cnfStyle w:val="001000000000" w:firstRow="0" w:lastRow="0" w:firstColumn="1" w:lastColumn="0" w:oddVBand="0" w:evenVBand="0" w:oddHBand="0" w:evenHBand="0" w:firstRowFirstColumn="0" w:firstRowLastColumn="0" w:lastRowFirstColumn="0" w:lastRowLastColumn="0"/>
            <w:tcW w:w="2199" w:type="dxa"/>
            <w:vMerge/>
          </w:tcPr>
          <w:p w14:paraId="3194E500" w14:textId="77777777" w:rsidR="00C2090D" w:rsidRPr="00D11BED" w:rsidRDefault="00C2090D" w:rsidP="00B20EF7">
            <w:pPr>
              <w:jc w:val="both"/>
              <w:rPr>
                <w:rFonts w:cstheme="minorHAnsi"/>
              </w:rPr>
            </w:pPr>
          </w:p>
        </w:tc>
        <w:tc>
          <w:tcPr>
            <w:tcW w:w="3251" w:type="dxa"/>
          </w:tcPr>
          <w:p w14:paraId="38220213"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unfit housing</w:t>
            </w:r>
          </w:p>
        </w:tc>
        <w:tc>
          <w:tcPr>
            <w:tcW w:w="3720" w:type="dxa"/>
            <w:gridSpan w:val="2"/>
          </w:tcPr>
          <w:p w14:paraId="0BB671EA" w14:textId="77777777" w:rsidR="00C2090D" w:rsidRPr="00D11BED" w:rsidRDefault="00C2090D" w:rsidP="00B20E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Occupied dwellings unfit for habitation</w:t>
            </w:r>
          </w:p>
        </w:tc>
      </w:tr>
      <w:tr w:rsidR="00C2090D" w:rsidRPr="00D11BED" w14:paraId="345B053B" w14:textId="77777777" w:rsidTr="00C2090D">
        <w:trPr>
          <w:trHeight w:val="56"/>
        </w:trPr>
        <w:tc>
          <w:tcPr>
            <w:cnfStyle w:val="001000000000" w:firstRow="0" w:lastRow="0" w:firstColumn="1" w:lastColumn="0" w:oddVBand="0" w:evenVBand="0" w:oddHBand="0" w:evenHBand="0" w:firstRowFirstColumn="0" w:firstRowLastColumn="0" w:lastRowFirstColumn="0" w:lastRowLastColumn="0"/>
            <w:tcW w:w="2199" w:type="dxa"/>
            <w:vMerge/>
          </w:tcPr>
          <w:p w14:paraId="4714BE82" w14:textId="77777777" w:rsidR="00C2090D" w:rsidRPr="00D11BED" w:rsidRDefault="00C2090D" w:rsidP="00B20EF7">
            <w:pPr>
              <w:jc w:val="both"/>
              <w:rPr>
                <w:rFonts w:cstheme="minorHAnsi"/>
              </w:rPr>
            </w:pPr>
          </w:p>
        </w:tc>
        <w:tc>
          <w:tcPr>
            <w:tcW w:w="3251" w:type="dxa"/>
          </w:tcPr>
          <w:p w14:paraId="01DD6975"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People living in extreme overcrowding</w:t>
            </w:r>
          </w:p>
        </w:tc>
        <w:tc>
          <w:tcPr>
            <w:tcW w:w="3720" w:type="dxa"/>
            <w:gridSpan w:val="2"/>
          </w:tcPr>
          <w:p w14:paraId="26235405" w14:textId="77777777" w:rsidR="00C2090D" w:rsidRPr="00D11BED" w:rsidRDefault="00C2090D" w:rsidP="00B20EF7">
            <w:pPr>
              <w:cnfStyle w:val="000000000000" w:firstRow="0" w:lastRow="0" w:firstColumn="0" w:lastColumn="0" w:oddVBand="0" w:evenVBand="0" w:oddHBand="0" w:evenHBand="0" w:firstRowFirstColumn="0" w:firstRowLastColumn="0" w:lastRowFirstColumn="0" w:lastRowLastColumn="0"/>
              <w:rPr>
                <w:rFonts w:cstheme="minorHAnsi"/>
              </w:rPr>
            </w:pPr>
            <w:r w:rsidRPr="00D11BED">
              <w:rPr>
                <w:rFonts w:cstheme="minorHAnsi"/>
              </w:rPr>
              <w:t>Highest</w:t>
            </w:r>
            <w:r>
              <w:rPr>
                <w:rFonts w:cstheme="minorHAnsi"/>
              </w:rPr>
              <w:t xml:space="preserve"> national norm of overcrowding</w:t>
            </w:r>
          </w:p>
        </w:tc>
      </w:tr>
    </w:tbl>
    <w:p w14:paraId="1D213DA6" w14:textId="77777777" w:rsidR="000F42A1" w:rsidRDefault="000F42A1" w:rsidP="00146328">
      <w:pPr>
        <w:spacing w:after="240" w:line="240" w:lineRule="auto"/>
        <w:jc w:val="both"/>
        <w:rPr>
          <w:rFonts w:ascii="Helvetica-Light" w:hAnsi="Helvetica-Light" w:cstheme="minorHAnsi"/>
          <w:bCs/>
          <w:i/>
          <w:color w:val="44546A" w:themeColor="text2"/>
          <w:sz w:val="16"/>
        </w:rPr>
      </w:pPr>
      <w:r w:rsidRPr="00AE6740">
        <w:rPr>
          <w:rFonts w:ascii="Helvetica-Light" w:hAnsi="Helvetica-Light" w:cstheme="minorHAnsi"/>
          <w:bCs/>
          <w:i/>
          <w:color w:val="44546A" w:themeColor="text2"/>
          <w:sz w:val="16"/>
        </w:rPr>
        <w:t>Source: FEANTSA</w:t>
      </w:r>
    </w:p>
    <w:p w14:paraId="798E21C3" w14:textId="77777777" w:rsidR="00AE6740" w:rsidRPr="00AE6740" w:rsidRDefault="00AE6740" w:rsidP="00146328">
      <w:pPr>
        <w:spacing w:after="240" w:line="240" w:lineRule="auto"/>
        <w:jc w:val="both"/>
        <w:rPr>
          <w:rFonts w:ascii="Helvetica-Light" w:hAnsi="Helvetica-Light" w:cstheme="minorHAnsi"/>
          <w:bCs/>
          <w:i/>
          <w:color w:val="44546A" w:themeColor="text2"/>
          <w:sz w:val="16"/>
        </w:rPr>
      </w:pPr>
    </w:p>
    <w:p w14:paraId="5CB23285" w14:textId="77777777" w:rsidR="009E2B52" w:rsidRPr="00EC01DE" w:rsidRDefault="007A151D" w:rsidP="00EC01DE">
      <w:pPr>
        <w:pStyle w:val="Titolo2"/>
        <w:numPr>
          <w:ilvl w:val="0"/>
          <w:numId w:val="1"/>
        </w:numPr>
        <w:spacing w:after="240" w:line="240" w:lineRule="auto"/>
        <w:jc w:val="both"/>
        <w:rPr>
          <w:rFonts w:ascii="Helvetica" w:hAnsi="Helvetica" w:cstheme="minorHAnsi"/>
          <w:b/>
          <w:color w:val="002060"/>
          <w:sz w:val="28"/>
          <w:szCs w:val="22"/>
        </w:rPr>
      </w:pPr>
      <w:r w:rsidRPr="00EC01DE">
        <w:rPr>
          <w:rFonts w:ascii="Helvetica" w:hAnsi="Helvetica" w:cstheme="minorHAnsi"/>
          <w:b/>
          <w:color w:val="002060"/>
          <w:sz w:val="28"/>
          <w:szCs w:val="22"/>
        </w:rPr>
        <w:t xml:space="preserve">Unstable </w:t>
      </w:r>
      <w:r w:rsidR="00FA06EB">
        <w:rPr>
          <w:rFonts w:ascii="Helvetica" w:hAnsi="Helvetica" w:cstheme="minorHAnsi"/>
          <w:b/>
          <w:color w:val="002060"/>
          <w:sz w:val="28"/>
          <w:szCs w:val="22"/>
        </w:rPr>
        <w:t>H</w:t>
      </w:r>
      <w:r w:rsidRPr="00EC01DE">
        <w:rPr>
          <w:rFonts w:ascii="Helvetica" w:hAnsi="Helvetica" w:cstheme="minorHAnsi"/>
          <w:b/>
          <w:color w:val="002060"/>
          <w:sz w:val="28"/>
          <w:szCs w:val="22"/>
        </w:rPr>
        <w:t xml:space="preserve">ousing in </w:t>
      </w:r>
      <w:r w:rsidR="00B66228" w:rsidRPr="00EC01DE">
        <w:rPr>
          <w:rFonts w:ascii="Helvetica" w:hAnsi="Helvetica" w:cstheme="minorHAnsi"/>
          <w:b/>
          <w:color w:val="002060"/>
          <w:sz w:val="28"/>
          <w:szCs w:val="22"/>
        </w:rPr>
        <w:t xml:space="preserve">the </w:t>
      </w:r>
      <w:r w:rsidRPr="00EC01DE">
        <w:rPr>
          <w:rFonts w:ascii="Helvetica" w:hAnsi="Helvetica" w:cstheme="minorHAnsi"/>
          <w:b/>
          <w:color w:val="002060"/>
          <w:sz w:val="28"/>
          <w:szCs w:val="22"/>
        </w:rPr>
        <w:t xml:space="preserve">Georgian </w:t>
      </w:r>
      <w:r w:rsidR="00FA06EB">
        <w:rPr>
          <w:rFonts w:ascii="Helvetica" w:hAnsi="Helvetica" w:cstheme="minorHAnsi"/>
          <w:b/>
          <w:color w:val="002060"/>
          <w:sz w:val="28"/>
          <w:szCs w:val="22"/>
        </w:rPr>
        <w:t>C</w:t>
      </w:r>
      <w:r w:rsidRPr="00EC01DE">
        <w:rPr>
          <w:rFonts w:ascii="Helvetica" w:hAnsi="Helvetica" w:cstheme="minorHAnsi"/>
          <w:b/>
          <w:color w:val="002060"/>
          <w:sz w:val="28"/>
          <w:szCs w:val="22"/>
        </w:rPr>
        <w:t>ontext</w:t>
      </w:r>
      <w:r w:rsidR="0000167D" w:rsidRPr="00EC01DE">
        <w:rPr>
          <w:rFonts w:ascii="Helvetica" w:hAnsi="Helvetica" w:cstheme="minorHAnsi"/>
          <w:b/>
          <w:color w:val="002060"/>
          <w:sz w:val="28"/>
          <w:szCs w:val="22"/>
        </w:rPr>
        <w:t xml:space="preserve"> (a partial picture based on available </w:t>
      </w:r>
      <w:r w:rsidR="00B66228" w:rsidRPr="00EC01DE">
        <w:rPr>
          <w:rFonts w:ascii="Helvetica" w:hAnsi="Helvetica" w:cstheme="minorHAnsi"/>
          <w:b/>
          <w:color w:val="002060"/>
          <w:sz w:val="28"/>
          <w:szCs w:val="22"/>
        </w:rPr>
        <w:t xml:space="preserve">limited </w:t>
      </w:r>
      <w:r w:rsidR="0000167D" w:rsidRPr="00EC01DE">
        <w:rPr>
          <w:rFonts w:ascii="Helvetica" w:hAnsi="Helvetica" w:cstheme="minorHAnsi"/>
          <w:b/>
          <w:color w:val="002060"/>
          <w:sz w:val="28"/>
          <w:szCs w:val="22"/>
        </w:rPr>
        <w:t>data)</w:t>
      </w:r>
    </w:p>
    <w:p w14:paraId="3B48FBBF" w14:textId="77777777" w:rsidR="00F738DD" w:rsidRPr="006B348D" w:rsidRDefault="00F738DD" w:rsidP="00146328">
      <w:pPr>
        <w:spacing w:after="240" w:line="240" w:lineRule="auto"/>
        <w:jc w:val="both"/>
        <w:rPr>
          <w:rFonts w:ascii="Helvetica" w:hAnsi="Helvetica" w:cstheme="minorHAnsi"/>
          <w:b/>
          <w:bCs/>
          <w:i/>
          <w:iCs/>
          <w:sz w:val="24"/>
          <w:lang w:val="en-GB"/>
        </w:rPr>
      </w:pPr>
      <w:r w:rsidRPr="006B348D">
        <w:rPr>
          <w:rFonts w:ascii="Helvetica" w:hAnsi="Helvetica" w:cstheme="minorHAnsi"/>
          <w:b/>
          <w:bCs/>
          <w:i/>
          <w:iCs/>
          <w:sz w:val="24"/>
          <w:lang w:val="en-GB"/>
        </w:rPr>
        <w:t>Roofless and homeless</w:t>
      </w:r>
    </w:p>
    <w:p w14:paraId="79EEA9A5" w14:textId="77777777" w:rsidR="000F42A1" w:rsidRPr="00C939CE" w:rsidRDefault="000F42A1" w:rsidP="00146328">
      <w:pPr>
        <w:spacing w:after="240" w:line="240" w:lineRule="auto"/>
        <w:jc w:val="both"/>
        <w:rPr>
          <w:rFonts w:ascii="Helvetica-Light" w:hAnsi="Helvetica-Light" w:cstheme="minorHAnsi"/>
        </w:rPr>
      </w:pPr>
      <w:r w:rsidRPr="00C939CE">
        <w:rPr>
          <w:rFonts w:ascii="Helvetica-Light" w:hAnsi="Helvetica-Light" w:cstheme="minorHAnsi"/>
          <w:lang w:val="en-GB"/>
        </w:rPr>
        <w:t>Among</w:t>
      </w:r>
      <w:r w:rsidR="009159F6" w:rsidRPr="00C939CE">
        <w:rPr>
          <w:rFonts w:ascii="Helvetica-Light" w:hAnsi="Helvetica-Light" w:cstheme="minorHAnsi"/>
          <w:lang w:val="en-GB"/>
        </w:rPr>
        <w:t xml:space="preserve"> </w:t>
      </w:r>
      <w:r w:rsidR="00346AC1" w:rsidRPr="00C939CE">
        <w:rPr>
          <w:rFonts w:ascii="Helvetica-Light" w:hAnsi="Helvetica-Light" w:cstheme="minorHAnsi"/>
        </w:rPr>
        <w:t xml:space="preserve">those </w:t>
      </w:r>
      <w:r w:rsidRPr="00C939CE">
        <w:rPr>
          <w:rFonts w:ascii="Helvetica-Light" w:hAnsi="Helvetica-Light" w:cstheme="minorHAnsi"/>
        </w:rPr>
        <w:t>who face a problem of unstable housing, the</w:t>
      </w:r>
      <w:r w:rsidR="005F58FC" w:rsidRPr="00C939CE">
        <w:rPr>
          <w:rFonts w:ascii="Helvetica-Light" w:hAnsi="Helvetica-Light" w:cstheme="minorHAnsi"/>
        </w:rPr>
        <w:t xml:space="preserve"> two</w:t>
      </w:r>
      <w:r w:rsidR="009159F6" w:rsidRPr="00C939CE">
        <w:rPr>
          <w:rFonts w:ascii="Helvetica-Light" w:hAnsi="Helvetica-Light" w:cstheme="minorHAnsi"/>
        </w:rPr>
        <w:t xml:space="preserve"> </w:t>
      </w:r>
      <w:r w:rsidRPr="00C939CE">
        <w:rPr>
          <w:rFonts w:ascii="Helvetica-Light" w:hAnsi="Helvetica-Light" w:cstheme="minorHAnsi"/>
          <w:b/>
          <w:bCs/>
        </w:rPr>
        <w:t>most vulnerable groups are roofless and homeless people</w:t>
      </w:r>
      <w:r w:rsidRPr="00C939CE">
        <w:rPr>
          <w:rFonts w:ascii="Helvetica-Light" w:hAnsi="Helvetica-Light" w:cstheme="minorHAnsi"/>
        </w:rPr>
        <w:t xml:space="preserve">. The main difference between homeless and roofless is that </w:t>
      </w:r>
      <w:r w:rsidR="00B66228" w:rsidRPr="00C939CE">
        <w:rPr>
          <w:rFonts w:ascii="Helvetica-Light" w:hAnsi="Helvetica-Light" w:cstheme="minorHAnsi"/>
        </w:rPr>
        <w:t>‘</w:t>
      </w:r>
      <w:r w:rsidRPr="00C939CE">
        <w:rPr>
          <w:rFonts w:ascii="Helvetica-Light" w:hAnsi="Helvetica-Light" w:cstheme="minorHAnsi"/>
        </w:rPr>
        <w:t>roofless</w:t>
      </w:r>
      <w:r w:rsidR="00B66228" w:rsidRPr="00C939CE">
        <w:rPr>
          <w:rFonts w:ascii="Helvetica-Light" w:hAnsi="Helvetica-Light" w:cstheme="minorHAnsi"/>
        </w:rPr>
        <w:t>’</w:t>
      </w:r>
      <w:r w:rsidRPr="00C939CE">
        <w:rPr>
          <w:rFonts w:ascii="Helvetica-Light" w:hAnsi="Helvetica-Light" w:cstheme="minorHAnsi"/>
        </w:rPr>
        <w:t xml:space="preserve"> people might spend the night in the open-air public spaces or in night shelters, while </w:t>
      </w:r>
      <w:r w:rsidR="00321FA5" w:rsidRPr="00C939CE">
        <w:rPr>
          <w:rFonts w:ascii="Helvetica-Light" w:hAnsi="Helvetica-Light" w:cstheme="minorHAnsi"/>
        </w:rPr>
        <w:t>‘</w:t>
      </w:r>
      <w:r w:rsidRPr="00C939CE">
        <w:rPr>
          <w:rFonts w:ascii="Helvetica-Light" w:hAnsi="Helvetica-Light" w:cstheme="minorHAnsi"/>
        </w:rPr>
        <w:t>homeless</w:t>
      </w:r>
      <w:r w:rsidR="00321FA5" w:rsidRPr="00C939CE">
        <w:rPr>
          <w:rFonts w:ascii="Helvetica-Light" w:hAnsi="Helvetica-Light" w:cstheme="minorHAnsi"/>
        </w:rPr>
        <w:t>’</w:t>
      </w:r>
      <w:r w:rsidR="000D576C">
        <w:rPr>
          <w:rFonts w:ascii="Helvetica-Light" w:hAnsi="Helvetica-Light" w:cstheme="minorHAnsi"/>
        </w:rPr>
        <w:t xml:space="preserve"> </w:t>
      </w:r>
      <w:r w:rsidR="00960005" w:rsidRPr="00C939CE">
        <w:rPr>
          <w:rFonts w:ascii="Helvetica-Light" w:hAnsi="Helvetica-Light" w:cstheme="minorHAnsi"/>
        </w:rPr>
        <w:t xml:space="preserve">have access to </w:t>
      </w:r>
      <w:r w:rsidRPr="00C939CE">
        <w:rPr>
          <w:rFonts w:ascii="Helvetica-Light" w:hAnsi="Helvetica-Light" w:cstheme="minorHAnsi"/>
        </w:rPr>
        <w:t>relatively longer-term shelters</w:t>
      </w:r>
      <w:r w:rsidR="00901DE0" w:rsidRPr="00C939CE">
        <w:rPr>
          <w:rFonts w:ascii="Helvetica-Light" w:hAnsi="Helvetica-Light" w:cstheme="minorHAnsi"/>
        </w:rPr>
        <w:t>. I</w:t>
      </w:r>
      <w:r w:rsidRPr="00C939CE">
        <w:rPr>
          <w:rFonts w:ascii="Helvetica-Light" w:hAnsi="Helvetica-Light" w:cstheme="minorHAnsi"/>
        </w:rPr>
        <w:t>n night shelters roofless people can get a service only at night, while in other shelters beneficiary can get a service at any time of a day.</w:t>
      </w:r>
    </w:p>
    <w:p w14:paraId="53EF2849" w14:textId="77777777" w:rsidR="0051178F" w:rsidRPr="00C939CE" w:rsidRDefault="00006B54" w:rsidP="00146328">
      <w:pPr>
        <w:spacing w:after="240" w:line="240" w:lineRule="auto"/>
        <w:jc w:val="both"/>
        <w:rPr>
          <w:rFonts w:ascii="Helvetica-Light" w:hAnsi="Helvetica-Light" w:cstheme="minorHAnsi"/>
          <w:b/>
          <w:bCs/>
          <w:lang w:val="en-GB"/>
        </w:rPr>
      </w:pPr>
      <w:r w:rsidRPr="00C939CE">
        <w:rPr>
          <w:rFonts w:ascii="Helvetica-Light" w:hAnsi="Helvetica-Light" w:cstheme="minorHAnsi"/>
        </w:rPr>
        <w:t xml:space="preserve">According to the code of Local Self Government </w:t>
      </w:r>
      <w:r w:rsidR="00B02944" w:rsidRPr="00C939CE">
        <w:rPr>
          <w:rFonts w:ascii="Helvetica-Light" w:hAnsi="Helvetica-Light" w:cstheme="minorHAnsi"/>
        </w:rPr>
        <w:t>of Georgia</w:t>
      </w:r>
      <w:r w:rsidR="00960005" w:rsidRPr="00C939CE">
        <w:rPr>
          <w:rFonts w:ascii="Helvetica-Light" w:hAnsi="Helvetica-Light" w:cstheme="minorHAnsi"/>
        </w:rPr>
        <w:t xml:space="preserve"> (2014) </w:t>
      </w:r>
      <w:r w:rsidRPr="00C939CE">
        <w:rPr>
          <w:rFonts w:ascii="Helvetica-Light" w:hAnsi="Helvetica-Light" w:cstheme="minorHAnsi"/>
        </w:rPr>
        <w:t>local self-governing bodies are obliged to register and provide shelters to the homeless people</w:t>
      </w:r>
      <w:r w:rsidR="00960005" w:rsidRPr="00C939CE">
        <w:rPr>
          <w:rStyle w:val="Rimandonotaapidipagina"/>
          <w:rFonts w:ascii="Helvetica-Light" w:hAnsi="Helvetica-Light" w:cstheme="minorHAnsi"/>
        </w:rPr>
        <w:footnoteReference w:id="2"/>
      </w:r>
      <w:r w:rsidR="00960005" w:rsidRPr="00C939CE">
        <w:rPr>
          <w:rFonts w:ascii="Helvetica-Light" w:hAnsi="Helvetica-Light" w:cstheme="minorHAnsi"/>
        </w:rPr>
        <w:t xml:space="preserve"> under the own authorities</w:t>
      </w:r>
      <w:r w:rsidR="00960005" w:rsidRPr="00C939CE">
        <w:rPr>
          <w:rStyle w:val="Rimandonotaapidipagina"/>
          <w:rFonts w:ascii="Helvetica-Light" w:hAnsi="Helvetica-Light" w:cstheme="minorHAnsi"/>
        </w:rPr>
        <w:footnoteReference w:id="3"/>
      </w:r>
      <w:r w:rsidRPr="00C939CE">
        <w:rPr>
          <w:rFonts w:ascii="Helvetica-Light" w:hAnsi="Helvetica-Light" w:cstheme="minorHAnsi"/>
        </w:rPr>
        <w:t xml:space="preserve">. </w:t>
      </w:r>
      <w:r w:rsidRPr="00C939CE">
        <w:rPr>
          <w:rFonts w:ascii="Helvetica-Light" w:hAnsi="Helvetica-Light" w:cstheme="minorHAnsi"/>
          <w:lang w:val="en-GB"/>
        </w:rPr>
        <w:t>Even though the registration of the homeless people is done in most of the municipalities (but not in all of them)</w:t>
      </w:r>
      <w:r w:rsidRPr="00C939CE">
        <w:rPr>
          <w:rStyle w:val="Rimandonotaapidipagina"/>
          <w:rFonts w:ascii="Helvetica-Light" w:hAnsi="Helvetica-Light" w:cstheme="minorHAnsi"/>
          <w:lang w:val="en-GB"/>
        </w:rPr>
        <w:footnoteReference w:id="4"/>
      </w:r>
      <w:r w:rsidRPr="00C939CE">
        <w:rPr>
          <w:rFonts w:ascii="Helvetica-Light" w:hAnsi="Helvetica-Light" w:cstheme="minorHAnsi"/>
          <w:lang w:val="en-GB"/>
        </w:rPr>
        <w:t xml:space="preserve">, there is no unified methodology, or approach to define a person and/or household homeless. </w:t>
      </w:r>
      <w:r w:rsidR="00C35458" w:rsidRPr="00C939CE">
        <w:rPr>
          <w:rFonts w:ascii="Helvetica-Light" w:hAnsi="Helvetica-Light" w:cstheme="minorHAnsi"/>
          <w:b/>
          <w:bCs/>
          <w:lang w:val="en-GB"/>
        </w:rPr>
        <w:t xml:space="preserve">This heterogeneity in methodologies and approaches, </w:t>
      </w:r>
      <w:r w:rsidR="005A0EAC" w:rsidRPr="00C939CE">
        <w:rPr>
          <w:rFonts w:ascii="Helvetica-Light" w:hAnsi="Helvetica-Light" w:cstheme="minorHAnsi"/>
          <w:b/>
          <w:bCs/>
          <w:lang w:val="en-GB"/>
        </w:rPr>
        <w:t>and the absence of harmonized data about homeless and roofless</w:t>
      </w:r>
      <w:r w:rsidR="00BD5B14" w:rsidRPr="00C939CE">
        <w:rPr>
          <w:rFonts w:ascii="Helvetica-Light" w:hAnsi="Helvetica-Light" w:cstheme="minorHAnsi"/>
          <w:b/>
          <w:bCs/>
          <w:lang w:val="en-GB"/>
        </w:rPr>
        <w:t xml:space="preserve"> individuals and households</w:t>
      </w:r>
      <w:r w:rsidR="00960005" w:rsidRPr="00C939CE">
        <w:rPr>
          <w:rFonts w:ascii="Helvetica-Light" w:hAnsi="Helvetica-Light" w:cstheme="minorHAnsi"/>
          <w:b/>
          <w:bCs/>
          <w:lang w:val="en-GB"/>
        </w:rPr>
        <w:t>,</w:t>
      </w:r>
      <w:r w:rsidR="00C35458" w:rsidRPr="00C939CE">
        <w:rPr>
          <w:rFonts w:ascii="Helvetica-Light" w:hAnsi="Helvetica-Light" w:cstheme="minorHAnsi"/>
          <w:b/>
          <w:bCs/>
          <w:lang w:val="en-GB"/>
        </w:rPr>
        <w:t xml:space="preserve"> poses a fundamental challenge to the </w:t>
      </w:r>
      <w:r w:rsidR="00602945" w:rsidRPr="00C939CE">
        <w:rPr>
          <w:rFonts w:ascii="Helvetica-Light" w:hAnsi="Helvetica-Light" w:cstheme="minorHAnsi"/>
          <w:b/>
          <w:bCs/>
          <w:lang w:val="en-GB"/>
        </w:rPr>
        <w:t xml:space="preserve">analysis of the problems and to the </w:t>
      </w:r>
      <w:r w:rsidR="00C35458" w:rsidRPr="00C939CE">
        <w:rPr>
          <w:rFonts w:ascii="Helvetica-Light" w:hAnsi="Helvetica-Light" w:cstheme="minorHAnsi"/>
          <w:b/>
          <w:bCs/>
          <w:lang w:val="en-GB"/>
        </w:rPr>
        <w:t xml:space="preserve">design, implementation and evaluation of </w:t>
      </w:r>
      <w:r w:rsidR="00BD5B14" w:rsidRPr="00C939CE">
        <w:rPr>
          <w:rFonts w:ascii="Helvetica-Light" w:hAnsi="Helvetica-Light" w:cstheme="minorHAnsi"/>
          <w:b/>
          <w:bCs/>
          <w:lang w:val="en-GB"/>
        </w:rPr>
        <w:t xml:space="preserve">policies to address </w:t>
      </w:r>
      <w:r w:rsidR="00602945" w:rsidRPr="00C939CE">
        <w:rPr>
          <w:rFonts w:ascii="Helvetica-Light" w:hAnsi="Helvetica-Light" w:cstheme="minorHAnsi"/>
          <w:b/>
          <w:bCs/>
          <w:lang w:val="en-GB"/>
        </w:rPr>
        <w:t>them</w:t>
      </w:r>
      <w:r w:rsidR="00C35458" w:rsidRPr="00C939CE">
        <w:rPr>
          <w:rFonts w:ascii="Helvetica-Light" w:hAnsi="Helvetica-Light" w:cstheme="minorHAnsi"/>
          <w:b/>
          <w:bCs/>
          <w:lang w:val="en-GB"/>
        </w:rPr>
        <w:t>.</w:t>
      </w:r>
    </w:p>
    <w:p w14:paraId="18E9506A" w14:textId="77777777" w:rsidR="003B3673" w:rsidRPr="00C939CE" w:rsidRDefault="003E0FD3" w:rsidP="00146328">
      <w:pPr>
        <w:spacing w:after="240" w:line="240" w:lineRule="auto"/>
        <w:jc w:val="both"/>
        <w:rPr>
          <w:rFonts w:ascii="Helvetica-Light" w:hAnsi="Helvetica-Light" w:cstheme="minorHAnsi"/>
        </w:rPr>
      </w:pPr>
      <w:r w:rsidRPr="00C939CE">
        <w:rPr>
          <w:rFonts w:ascii="Helvetica-Light" w:hAnsi="Helvetica-Light" w:cstheme="minorHAnsi"/>
          <w:lang w:val="en-GB"/>
        </w:rPr>
        <w:t xml:space="preserve">The estimated number of </w:t>
      </w:r>
      <w:r w:rsidRPr="00C939CE">
        <w:rPr>
          <w:rFonts w:ascii="Helvetica-Light" w:hAnsi="Helvetica-Light" w:cstheme="minorHAnsi"/>
          <w:b/>
          <w:bCs/>
        </w:rPr>
        <w:t>r</w:t>
      </w:r>
      <w:r w:rsidR="003B3673" w:rsidRPr="00C939CE">
        <w:rPr>
          <w:rFonts w:ascii="Helvetica-Light" w:hAnsi="Helvetica-Light" w:cstheme="minorHAnsi"/>
          <w:b/>
          <w:bCs/>
        </w:rPr>
        <w:t xml:space="preserve">oofless individuals </w:t>
      </w:r>
      <w:r w:rsidR="00B02944" w:rsidRPr="00C939CE">
        <w:rPr>
          <w:rFonts w:ascii="Helvetica-Light" w:hAnsi="Helvetica-Light" w:cstheme="minorHAnsi"/>
        </w:rPr>
        <w:t xml:space="preserve">in </w:t>
      </w:r>
      <w:r w:rsidR="0033322C" w:rsidRPr="00C939CE">
        <w:rPr>
          <w:rFonts w:ascii="Helvetica-Light" w:hAnsi="Helvetica-Light" w:cstheme="minorHAnsi"/>
        </w:rPr>
        <w:t>Georgia</w:t>
      </w:r>
      <w:r w:rsidR="00587ED3" w:rsidRPr="00C939CE">
        <w:rPr>
          <w:rFonts w:ascii="Helvetica-Light" w:hAnsi="Helvetica-Light" w:cstheme="minorHAnsi"/>
        </w:rPr>
        <w:t xml:space="preserve"> at the end of 2019</w:t>
      </w:r>
      <w:r w:rsidR="00802ABE" w:rsidRPr="00C939CE">
        <w:rPr>
          <w:rFonts w:ascii="Helvetica-Light" w:hAnsi="Helvetica-Light" w:cstheme="minorHAnsi"/>
        </w:rPr>
        <w:t>, on the basis of the</w:t>
      </w:r>
      <w:r w:rsidR="000D576C">
        <w:rPr>
          <w:rFonts w:ascii="Helvetica-Light" w:hAnsi="Helvetica-Light" w:cstheme="minorHAnsi"/>
        </w:rPr>
        <w:t xml:space="preserve"> </w:t>
      </w:r>
      <w:r w:rsidR="00802ABE" w:rsidRPr="00C939CE">
        <w:rPr>
          <w:rFonts w:ascii="Helvetica-Light" w:hAnsi="Helvetica-Light" w:cstheme="minorHAnsi"/>
        </w:rPr>
        <w:t>data provided by</w:t>
      </w:r>
      <w:r w:rsidR="000D576C">
        <w:rPr>
          <w:rFonts w:ascii="Helvetica-Light" w:hAnsi="Helvetica-Light" w:cstheme="minorHAnsi"/>
        </w:rPr>
        <w:t xml:space="preserve"> </w:t>
      </w:r>
      <w:r w:rsidR="00BF3486" w:rsidRPr="00C939CE">
        <w:rPr>
          <w:rFonts w:ascii="Helvetica-Light" w:hAnsi="Helvetica-Light" w:cstheme="minorHAnsi"/>
        </w:rPr>
        <w:t>municipalities</w:t>
      </w:r>
      <w:r w:rsidR="00587ED3" w:rsidRPr="00C939CE">
        <w:rPr>
          <w:rFonts w:ascii="Helvetica-Light" w:hAnsi="Helvetica-Light" w:cstheme="minorHAnsi"/>
        </w:rPr>
        <w:t>,</w:t>
      </w:r>
      <w:r w:rsidR="002D611D" w:rsidRPr="00C939CE">
        <w:rPr>
          <w:rFonts w:ascii="Helvetica-Light" w:hAnsi="Helvetica-Light" w:cstheme="minorHAnsi"/>
        </w:rPr>
        <w:t xml:space="preserve"> was </w:t>
      </w:r>
      <w:r w:rsidR="000E2452" w:rsidRPr="00C939CE">
        <w:rPr>
          <w:rFonts w:ascii="Helvetica-Light" w:hAnsi="Helvetica-Light" w:cstheme="minorHAnsi"/>
        </w:rPr>
        <w:t>5</w:t>
      </w:r>
      <w:r w:rsidR="00901DE0" w:rsidRPr="00C939CE">
        <w:rPr>
          <w:rFonts w:ascii="Helvetica-Light" w:hAnsi="Helvetica-Light" w:cstheme="minorHAnsi"/>
        </w:rPr>
        <w:t>,</w:t>
      </w:r>
      <w:r w:rsidR="000E2452" w:rsidRPr="00C939CE">
        <w:rPr>
          <w:rFonts w:ascii="Helvetica-Light" w:hAnsi="Helvetica-Light" w:cstheme="minorHAnsi"/>
        </w:rPr>
        <w:t>152 roofless individuals</w:t>
      </w:r>
      <w:r w:rsidR="00957334" w:rsidRPr="00C939CE">
        <w:rPr>
          <w:rStyle w:val="Rimandonotaapidipagina"/>
          <w:rFonts w:ascii="Helvetica-Light" w:hAnsi="Helvetica-Light" w:cstheme="minorHAnsi"/>
        </w:rPr>
        <w:footnoteReference w:id="5"/>
      </w:r>
      <w:r w:rsidR="000E2452" w:rsidRPr="00C939CE">
        <w:rPr>
          <w:rFonts w:ascii="Helvetica-Light" w:hAnsi="Helvetica-Light" w:cstheme="minorHAnsi"/>
        </w:rPr>
        <w:t xml:space="preserve"> (0.14% of total population)</w:t>
      </w:r>
      <w:r w:rsidR="00CC20EF" w:rsidRPr="00C939CE">
        <w:rPr>
          <w:rFonts w:ascii="Helvetica-Light" w:hAnsi="Helvetica-Light" w:cstheme="minorHAnsi"/>
        </w:rPr>
        <w:t>.</w:t>
      </w:r>
      <w:r w:rsidR="00597433" w:rsidRPr="00C939CE">
        <w:rPr>
          <w:rFonts w:ascii="Helvetica-Light" w:hAnsi="Helvetica-Light" w:cstheme="minorHAnsi"/>
        </w:rPr>
        <w:t xml:space="preserve"> Based on </w:t>
      </w:r>
      <w:r w:rsidR="00857F9E" w:rsidRPr="00C939CE">
        <w:rPr>
          <w:rFonts w:ascii="Helvetica-Light" w:hAnsi="Helvetica-Light" w:cstheme="minorHAnsi"/>
        </w:rPr>
        <w:t xml:space="preserve">these </w:t>
      </w:r>
      <w:r w:rsidR="005D2FA6" w:rsidRPr="00C939CE">
        <w:rPr>
          <w:rFonts w:ascii="Helvetica-Light" w:hAnsi="Helvetica-Light" w:cstheme="minorHAnsi"/>
        </w:rPr>
        <w:t xml:space="preserve">(partial) </w:t>
      </w:r>
      <w:r w:rsidR="00597433" w:rsidRPr="00C939CE">
        <w:rPr>
          <w:rFonts w:ascii="Helvetica-Light" w:hAnsi="Helvetica-Light" w:cstheme="minorHAnsi"/>
        </w:rPr>
        <w:t xml:space="preserve">data, the highest number of homeless individuals </w:t>
      </w:r>
      <w:r w:rsidR="009868FA" w:rsidRPr="00C939CE">
        <w:rPr>
          <w:rFonts w:ascii="Helvetica-Light" w:hAnsi="Helvetica-Light" w:cstheme="minorHAnsi"/>
        </w:rPr>
        <w:t>among the municipalit</w:t>
      </w:r>
      <w:r w:rsidR="00ED0272" w:rsidRPr="00C939CE">
        <w:rPr>
          <w:rFonts w:ascii="Helvetica-Light" w:hAnsi="Helvetica-Light" w:cstheme="minorHAnsi"/>
        </w:rPr>
        <w:t>ies</w:t>
      </w:r>
      <w:r w:rsidR="009868FA" w:rsidRPr="00C939CE">
        <w:rPr>
          <w:rFonts w:ascii="Helvetica-Light" w:hAnsi="Helvetica-Light" w:cstheme="minorHAnsi"/>
        </w:rPr>
        <w:t xml:space="preserve"> for which we could obtain data, </w:t>
      </w:r>
      <w:r w:rsidR="005D2FA6" w:rsidRPr="00C939CE">
        <w:rPr>
          <w:rFonts w:ascii="Helvetica-Light" w:hAnsi="Helvetica-Light" w:cstheme="minorHAnsi"/>
        </w:rPr>
        <w:t xml:space="preserve">were </w:t>
      </w:r>
      <w:r w:rsidR="00587ED3" w:rsidRPr="00C939CE">
        <w:rPr>
          <w:rFonts w:ascii="Helvetica-Light" w:hAnsi="Helvetica-Light" w:cstheme="minorHAnsi"/>
        </w:rPr>
        <w:t xml:space="preserve">located in </w:t>
      </w:r>
      <w:proofErr w:type="spellStart"/>
      <w:r w:rsidR="00597433" w:rsidRPr="00C939CE">
        <w:rPr>
          <w:rFonts w:ascii="Helvetica-Light" w:hAnsi="Helvetica-Light" w:cstheme="minorHAnsi"/>
        </w:rPr>
        <w:t>Mestia</w:t>
      </w:r>
      <w:proofErr w:type="spellEnd"/>
      <w:r w:rsidR="00901DE0" w:rsidRPr="00C939CE">
        <w:rPr>
          <w:rFonts w:ascii="Helvetica-Light" w:hAnsi="Helvetica-Light" w:cstheme="minorHAnsi"/>
        </w:rPr>
        <w:t xml:space="preserve"> municipality</w:t>
      </w:r>
      <w:r w:rsidR="00901DE0" w:rsidRPr="00C939CE">
        <w:rPr>
          <w:rStyle w:val="Rimandonotaapidipagina"/>
          <w:rFonts w:ascii="Helvetica-Light" w:hAnsi="Helvetica-Light" w:cstheme="minorHAnsi"/>
          <w:lang w:val="ka-GE"/>
        </w:rPr>
        <w:footnoteReference w:id="6"/>
      </w:r>
      <w:r w:rsidR="00597433" w:rsidRPr="00C939CE">
        <w:rPr>
          <w:rFonts w:ascii="Helvetica-Light" w:hAnsi="Helvetica-Light" w:cstheme="minorHAnsi"/>
          <w:lang w:val="ka-GE"/>
        </w:rPr>
        <w:t xml:space="preserve">, </w:t>
      </w:r>
      <w:r w:rsidR="00597433" w:rsidRPr="00C939CE">
        <w:rPr>
          <w:rFonts w:ascii="Helvetica-Light" w:hAnsi="Helvetica-Light" w:cstheme="minorHAnsi"/>
        </w:rPr>
        <w:t xml:space="preserve">while the lowest number comes to the </w:t>
      </w:r>
      <w:proofErr w:type="spellStart"/>
      <w:r w:rsidR="00597433" w:rsidRPr="00C939CE">
        <w:rPr>
          <w:rFonts w:ascii="Helvetica-Light" w:hAnsi="Helvetica-Light" w:cstheme="minorHAnsi"/>
        </w:rPr>
        <w:t>Kharagauli</w:t>
      </w:r>
      <w:proofErr w:type="spellEnd"/>
      <w:r w:rsidR="00597433" w:rsidRPr="00C939CE">
        <w:rPr>
          <w:rFonts w:ascii="Helvetica-Light" w:hAnsi="Helvetica-Light" w:cstheme="minorHAnsi"/>
        </w:rPr>
        <w:t xml:space="preserve"> municipality</w:t>
      </w:r>
      <w:r w:rsidR="00F577F7" w:rsidRPr="00C939CE">
        <w:rPr>
          <w:rFonts w:ascii="Helvetica-Light" w:hAnsi="Helvetica-Light" w:cstheme="minorHAnsi"/>
        </w:rPr>
        <w:t>. Notably, this analysis does not include data about Tbilisi municipality</w:t>
      </w:r>
      <w:r w:rsidR="00F577F7" w:rsidRPr="00C939CE">
        <w:rPr>
          <w:rStyle w:val="Rimandonotaapidipagina"/>
          <w:rFonts w:ascii="Helvetica-Light" w:hAnsi="Helvetica-Light" w:cstheme="minorHAnsi"/>
        </w:rPr>
        <w:footnoteReference w:id="7"/>
      </w:r>
      <w:r w:rsidR="00F577F7" w:rsidRPr="00C939CE">
        <w:rPr>
          <w:rFonts w:ascii="Helvetica-Light" w:hAnsi="Helvetica-Light" w:cstheme="minorHAnsi"/>
        </w:rPr>
        <w:t>.</w:t>
      </w:r>
    </w:p>
    <w:p w14:paraId="49BEA875" w14:textId="77777777" w:rsidR="00F577F7" w:rsidRPr="00C939CE" w:rsidRDefault="000E2452" w:rsidP="00146328">
      <w:pPr>
        <w:spacing w:after="240" w:line="240" w:lineRule="auto"/>
        <w:jc w:val="both"/>
        <w:rPr>
          <w:rFonts w:ascii="Helvetica-Light" w:hAnsi="Helvetica-Light" w:cstheme="minorHAnsi"/>
        </w:rPr>
      </w:pPr>
      <w:r w:rsidRPr="00C939CE">
        <w:rPr>
          <w:rFonts w:ascii="Helvetica-Light" w:hAnsi="Helvetica-Light" w:cstheme="minorHAnsi"/>
        </w:rPr>
        <w:t xml:space="preserve">As for </w:t>
      </w:r>
      <w:r w:rsidRPr="00C939CE">
        <w:rPr>
          <w:rFonts w:ascii="Helvetica-Light" w:hAnsi="Helvetica-Light" w:cstheme="minorHAnsi"/>
          <w:b/>
          <w:bCs/>
        </w:rPr>
        <w:t>homeless individuals</w:t>
      </w:r>
      <w:r w:rsidRPr="00C939CE">
        <w:rPr>
          <w:rFonts w:ascii="Helvetica-Light" w:hAnsi="Helvetica-Light" w:cstheme="minorHAnsi"/>
        </w:rPr>
        <w:t xml:space="preserve">, </w:t>
      </w:r>
      <w:r w:rsidR="006217BF" w:rsidRPr="00C939CE">
        <w:rPr>
          <w:rFonts w:ascii="Helvetica-Light" w:hAnsi="Helvetica-Light" w:cstheme="minorHAnsi"/>
        </w:rPr>
        <w:t xml:space="preserve">we estimated that – by the end of 2019 </w:t>
      </w:r>
      <w:r w:rsidR="00D3583C" w:rsidRPr="00C939CE">
        <w:rPr>
          <w:rFonts w:ascii="Helvetica-Light" w:hAnsi="Helvetica-Light" w:cstheme="minorHAnsi"/>
        </w:rPr>
        <w:t>–</w:t>
      </w:r>
      <w:r w:rsidR="008B59DE">
        <w:rPr>
          <w:rFonts w:ascii="Helvetica-Light" w:hAnsi="Helvetica-Light" w:cstheme="minorHAnsi"/>
        </w:rPr>
        <w:t xml:space="preserve"> </w:t>
      </w:r>
      <w:r w:rsidR="00CC20EF" w:rsidRPr="00C939CE">
        <w:rPr>
          <w:rFonts w:ascii="Helvetica-Light" w:hAnsi="Helvetica-Light" w:cstheme="minorHAnsi"/>
        </w:rPr>
        <w:t>3</w:t>
      </w:r>
      <w:r w:rsidR="00901DE0" w:rsidRPr="00C939CE">
        <w:rPr>
          <w:rFonts w:ascii="Helvetica-Light" w:hAnsi="Helvetica-Light" w:cstheme="minorHAnsi"/>
          <w:lang w:val="ka-GE"/>
        </w:rPr>
        <w:t>,</w:t>
      </w:r>
      <w:r w:rsidR="00CC20EF" w:rsidRPr="00C939CE">
        <w:rPr>
          <w:rFonts w:ascii="Helvetica-Light" w:hAnsi="Helvetica-Light" w:cstheme="minorHAnsi"/>
        </w:rPr>
        <w:t xml:space="preserve">420 </w:t>
      </w:r>
      <w:r w:rsidR="00857F9E" w:rsidRPr="00C939CE">
        <w:rPr>
          <w:rFonts w:ascii="Helvetica-Light" w:hAnsi="Helvetica-Light" w:cstheme="minorHAnsi"/>
        </w:rPr>
        <w:t xml:space="preserve">individuals </w:t>
      </w:r>
      <w:r w:rsidR="006217BF" w:rsidRPr="00C939CE">
        <w:rPr>
          <w:rFonts w:ascii="Helvetica-Light" w:hAnsi="Helvetica-Light" w:cstheme="minorHAnsi"/>
        </w:rPr>
        <w:t>were</w:t>
      </w:r>
      <w:r w:rsidR="000D576C">
        <w:rPr>
          <w:rFonts w:ascii="Helvetica-Light" w:hAnsi="Helvetica-Light" w:cstheme="minorHAnsi"/>
        </w:rPr>
        <w:t xml:space="preserve"> </w:t>
      </w:r>
      <w:r w:rsidR="00CC20EF" w:rsidRPr="00C939CE">
        <w:rPr>
          <w:rFonts w:ascii="Helvetica-Light" w:hAnsi="Helvetica-Light" w:cstheme="minorHAnsi"/>
        </w:rPr>
        <w:t>living temporar</w:t>
      </w:r>
      <w:r w:rsidR="006217BF" w:rsidRPr="00C939CE">
        <w:rPr>
          <w:rFonts w:ascii="Helvetica-Light" w:hAnsi="Helvetica-Light" w:cstheme="minorHAnsi"/>
        </w:rPr>
        <w:t>ily</w:t>
      </w:r>
      <w:r w:rsidR="00CC20EF" w:rsidRPr="00C939CE">
        <w:rPr>
          <w:rFonts w:ascii="Helvetica-Light" w:hAnsi="Helvetica-Light" w:cstheme="minorHAnsi"/>
        </w:rPr>
        <w:t xml:space="preserve"> in shelters or </w:t>
      </w:r>
      <w:r w:rsidR="00597433" w:rsidRPr="00C939CE">
        <w:rPr>
          <w:rFonts w:ascii="Helvetica-Light" w:hAnsi="Helvetica-Light" w:cstheme="minorHAnsi"/>
        </w:rPr>
        <w:t>in houses rented by the local municipalit</w:t>
      </w:r>
      <w:r w:rsidR="00B02944" w:rsidRPr="00C939CE">
        <w:rPr>
          <w:rFonts w:ascii="Helvetica-Light" w:hAnsi="Helvetica-Light" w:cstheme="minorHAnsi"/>
        </w:rPr>
        <w:t>ies</w:t>
      </w:r>
      <w:r w:rsidR="00CC20EF" w:rsidRPr="00C939CE">
        <w:rPr>
          <w:rFonts w:ascii="Helvetica-Light" w:hAnsi="Helvetica-Light" w:cstheme="minorHAnsi"/>
        </w:rPr>
        <w:t xml:space="preserve">. </w:t>
      </w:r>
      <w:r w:rsidR="00F577F7" w:rsidRPr="00C939CE">
        <w:rPr>
          <w:rFonts w:ascii="Helvetica-Light" w:hAnsi="Helvetica-Light" w:cstheme="minorHAnsi"/>
        </w:rPr>
        <w:t>The highest share</w:t>
      </w:r>
      <w:r w:rsidR="00960005" w:rsidRPr="00C939CE">
        <w:rPr>
          <w:rFonts w:ascii="Helvetica-Light" w:hAnsi="Helvetica-Light" w:cstheme="minorHAnsi"/>
        </w:rPr>
        <w:t>s</w:t>
      </w:r>
      <w:r w:rsidR="00F577F7" w:rsidRPr="00C939CE">
        <w:rPr>
          <w:rFonts w:ascii="Helvetica-Light" w:hAnsi="Helvetica-Light" w:cstheme="minorHAnsi"/>
        </w:rPr>
        <w:t xml:space="preserve"> of the homeless individuals </w:t>
      </w:r>
      <w:r w:rsidR="00650045" w:rsidRPr="00C939CE">
        <w:rPr>
          <w:rFonts w:ascii="Helvetica-Light" w:hAnsi="Helvetica-Light" w:cstheme="minorHAnsi"/>
        </w:rPr>
        <w:t>were reported in</w:t>
      </w:r>
      <w:r w:rsidR="000D576C">
        <w:rPr>
          <w:rFonts w:ascii="Helvetica-Light" w:hAnsi="Helvetica-Light" w:cstheme="minorHAnsi"/>
        </w:rPr>
        <w:t xml:space="preserve"> </w:t>
      </w:r>
      <w:proofErr w:type="spellStart"/>
      <w:r w:rsidR="00F577F7" w:rsidRPr="00C939CE">
        <w:rPr>
          <w:rFonts w:ascii="Helvetica-Light" w:hAnsi="Helvetica-Light" w:cstheme="minorHAnsi"/>
        </w:rPr>
        <w:t>Samtredia</w:t>
      </w:r>
      <w:proofErr w:type="spellEnd"/>
      <w:r w:rsidR="00F577F7" w:rsidRPr="00C939CE">
        <w:rPr>
          <w:rFonts w:ascii="Helvetica-Light" w:hAnsi="Helvetica-Light" w:cstheme="minorHAnsi"/>
        </w:rPr>
        <w:t xml:space="preserve"> (12%), Ozurgeti (10%), Zugdidi (10%) and Batumi (9%) municipalities.</w:t>
      </w:r>
    </w:p>
    <w:p w14:paraId="325161F4" w14:textId="77777777" w:rsidR="00BF3486" w:rsidRPr="00C939CE" w:rsidRDefault="00BF3486" w:rsidP="00146328">
      <w:pPr>
        <w:spacing w:after="240" w:line="240" w:lineRule="auto"/>
        <w:jc w:val="both"/>
        <w:rPr>
          <w:rFonts w:ascii="Helvetica-Light" w:hAnsi="Helvetica-Light" w:cstheme="minorHAnsi"/>
        </w:rPr>
      </w:pPr>
      <w:r w:rsidRPr="00C939CE">
        <w:rPr>
          <w:rFonts w:ascii="Helvetica-Light" w:hAnsi="Helvetica-Light" w:cstheme="minorHAnsi"/>
        </w:rPr>
        <w:t xml:space="preserve">The category of homeless people </w:t>
      </w:r>
      <w:r w:rsidR="00957334" w:rsidRPr="00C939CE">
        <w:rPr>
          <w:rFonts w:ascii="Helvetica-Light" w:hAnsi="Helvetica-Light" w:cstheme="minorHAnsi"/>
        </w:rPr>
        <w:t>also includes</w:t>
      </w:r>
      <w:r w:rsidR="000D576C">
        <w:rPr>
          <w:rFonts w:ascii="Helvetica-Light" w:hAnsi="Helvetica-Light" w:cstheme="minorHAnsi"/>
        </w:rPr>
        <w:t xml:space="preserve"> </w:t>
      </w:r>
      <w:r w:rsidR="00037180" w:rsidRPr="00C939CE">
        <w:rPr>
          <w:rFonts w:ascii="Helvetica-Light" w:hAnsi="Helvetica-Light" w:cstheme="minorHAnsi"/>
        </w:rPr>
        <w:t xml:space="preserve">specific groups of </w:t>
      </w:r>
      <w:r w:rsidRPr="00C939CE">
        <w:rPr>
          <w:rFonts w:ascii="Helvetica-Light" w:hAnsi="Helvetica-Light" w:cstheme="minorHAnsi"/>
        </w:rPr>
        <w:t>people</w:t>
      </w:r>
      <w:r w:rsidR="00037180" w:rsidRPr="00C939CE">
        <w:rPr>
          <w:rFonts w:ascii="Helvetica-Light" w:hAnsi="Helvetica-Light" w:cstheme="minorHAnsi"/>
        </w:rPr>
        <w:t>: those</w:t>
      </w:r>
      <w:r w:rsidRPr="00C939CE">
        <w:rPr>
          <w:rFonts w:ascii="Helvetica-Light" w:hAnsi="Helvetica-Light" w:cstheme="minorHAnsi"/>
        </w:rPr>
        <w:t xml:space="preserve"> who live in women shelter accommodation, temporary accommodations/reception centers, migrant accommodations, penal, medical and children’s institutions</w:t>
      </w:r>
      <w:r w:rsidR="00960005" w:rsidRPr="00C939CE">
        <w:rPr>
          <w:rFonts w:ascii="Helvetica-Light" w:hAnsi="Helvetica-Light" w:cstheme="minorHAnsi"/>
        </w:rPr>
        <w:t>, as well as</w:t>
      </w:r>
      <w:r w:rsidRPr="00C939CE">
        <w:rPr>
          <w:rFonts w:ascii="Helvetica-Light" w:hAnsi="Helvetica-Light" w:cstheme="minorHAnsi"/>
        </w:rPr>
        <w:t xml:space="preserve"> homeless elderly people, elders who were formerly homeless and are receiving supported accommodation</w:t>
      </w:r>
      <w:r w:rsidR="00037180" w:rsidRPr="00C939CE">
        <w:rPr>
          <w:rFonts w:ascii="Helvetica-Light" w:hAnsi="Helvetica-Light" w:cstheme="minorHAnsi"/>
        </w:rPr>
        <w:t>, and substance users</w:t>
      </w:r>
      <w:r w:rsidRPr="00C939CE">
        <w:rPr>
          <w:rFonts w:ascii="Helvetica-Light" w:hAnsi="Helvetica-Light" w:cstheme="minorHAnsi"/>
        </w:rPr>
        <w:t>.</w:t>
      </w:r>
    </w:p>
    <w:p w14:paraId="7727921F" w14:textId="77777777" w:rsidR="00281390" w:rsidRPr="00C939CE" w:rsidRDefault="003825E5" w:rsidP="00146328">
      <w:pPr>
        <w:spacing w:after="240" w:line="240" w:lineRule="auto"/>
        <w:jc w:val="both"/>
        <w:rPr>
          <w:rFonts w:ascii="Helvetica-Light" w:hAnsi="Helvetica-Light" w:cstheme="minorHAnsi"/>
        </w:rPr>
      </w:pPr>
      <w:r w:rsidRPr="00C939CE">
        <w:rPr>
          <w:rFonts w:ascii="Helvetica-Light" w:hAnsi="Helvetica-Light" w:cstheme="minorHAnsi"/>
        </w:rPr>
        <w:t xml:space="preserve">According to the data from </w:t>
      </w:r>
      <w:r w:rsidR="00960005" w:rsidRPr="00C939CE">
        <w:rPr>
          <w:rFonts w:ascii="Helvetica-Light" w:hAnsi="Helvetica-Light" w:cstheme="minorHAnsi"/>
        </w:rPr>
        <w:t xml:space="preserve">the </w:t>
      </w:r>
      <w:r w:rsidRPr="00C939CE">
        <w:rPr>
          <w:rFonts w:ascii="Helvetica-Light" w:hAnsi="Helvetica-Light" w:cstheme="minorHAnsi"/>
        </w:rPr>
        <w:t xml:space="preserve">ATIP fund, the number of beneficiaries </w:t>
      </w:r>
      <w:r w:rsidR="00960005" w:rsidRPr="00C939CE">
        <w:rPr>
          <w:rFonts w:ascii="Helvetica-Light" w:hAnsi="Helvetica-Light" w:cstheme="minorHAnsi"/>
        </w:rPr>
        <w:t xml:space="preserve">in </w:t>
      </w:r>
      <w:r w:rsidRPr="00C939CE">
        <w:rPr>
          <w:rFonts w:ascii="Helvetica-Light" w:hAnsi="Helvetica-Light" w:cstheme="minorHAnsi"/>
        </w:rPr>
        <w:t xml:space="preserve">children houses </w:t>
      </w:r>
      <w:r w:rsidR="008F2DE6" w:rsidRPr="00C939CE">
        <w:rPr>
          <w:rFonts w:ascii="Helvetica-Light" w:hAnsi="Helvetica-Light" w:cstheme="minorHAnsi"/>
        </w:rPr>
        <w:t xml:space="preserve">decreased </w:t>
      </w:r>
      <w:r w:rsidRPr="00C939CE">
        <w:rPr>
          <w:rFonts w:ascii="Helvetica-Light" w:hAnsi="Helvetica-Light" w:cstheme="minorHAnsi"/>
        </w:rPr>
        <w:t>over the years</w:t>
      </w:r>
      <w:r w:rsidR="00615F91" w:rsidRPr="00C939CE">
        <w:rPr>
          <w:rFonts w:ascii="Helvetica-Light" w:hAnsi="Helvetica-Light" w:cstheme="minorHAnsi"/>
        </w:rPr>
        <w:t xml:space="preserve"> (i.e. in 2011</w:t>
      </w:r>
      <w:r w:rsidR="008B59DE">
        <w:rPr>
          <w:rFonts w:ascii="Helvetica-Light" w:hAnsi="Helvetica-Light" w:cstheme="minorHAnsi"/>
        </w:rPr>
        <w:t>,</w:t>
      </w:r>
      <w:r w:rsidR="00615F91" w:rsidRPr="00C939CE">
        <w:rPr>
          <w:rFonts w:ascii="Helvetica-Light" w:hAnsi="Helvetica-Light" w:cstheme="minorHAnsi"/>
        </w:rPr>
        <w:t xml:space="preserve"> 1</w:t>
      </w:r>
      <w:r w:rsidR="00615F91" w:rsidRPr="00C939CE">
        <w:rPr>
          <w:rFonts w:ascii="Helvetica-Light" w:hAnsi="Helvetica-Light" w:cstheme="minorHAnsi"/>
          <w:lang w:val="ka-GE"/>
        </w:rPr>
        <w:t>,</w:t>
      </w:r>
      <w:r w:rsidR="00615F91" w:rsidRPr="00C939CE">
        <w:rPr>
          <w:rFonts w:ascii="Helvetica-Light" w:hAnsi="Helvetica-Light" w:cstheme="minorHAnsi"/>
        </w:rPr>
        <w:t>086 children were living in children houses, while in 2018 their number reduced to 98)</w:t>
      </w:r>
      <w:r w:rsidR="00960005" w:rsidRPr="00C939CE">
        <w:rPr>
          <w:rFonts w:ascii="Helvetica-Light" w:hAnsi="Helvetica-Light" w:cstheme="minorHAnsi"/>
        </w:rPr>
        <w:t>,</w:t>
      </w:r>
      <w:r w:rsidR="008B59DE">
        <w:rPr>
          <w:rFonts w:ascii="Helvetica-Light" w:hAnsi="Helvetica-Light" w:cstheme="minorHAnsi"/>
        </w:rPr>
        <w:t xml:space="preserve"> </w:t>
      </w:r>
      <w:r w:rsidR="00615F91" w:rsidRPr="00C939CE">
        <w:rPr>
          <w:rFonts w:ascii="Helvetica-Light" w:hAnsi="Helvetica-Light" w:cstheme="minorHAnsi"/>
        </w:rPr>
        <w:t xml:space="preserve">possibly </w:t>
      </w:r>
      <w:r w:rsidRPr="00C939CE">
        <w:rPr>
          <w:rFonts w:ascii="Helvetica-Light" w:hAnsi="Helvetica-Light" w:cstheme="minorHAnsi"/>
        </w:rPr>
        <w:t xml:space="preserve">due to the </w:t>
      </w:r>
      <w:r w:rsidR="00960005" w:rsidRPr="00C939CE">
        <w:rPr>
          <w:rFonts w:ascii="Helvetica-Light" w:hAnsi="Helvetica-Light" w:cstheme="minorHAnsi"/>
        </w:rPr>
        <w:t xml:space="preserve">introduction of </w:t>
      </w:r>
      <w:r w:rsidRPr="00C939CE">
        <w:rPr>
          <w:rFonts w:ascii="Helvetica-Light" w:hAnsi="Helvetica-Light" w:cstheme="minorHAnsi"/>
        </w:rPr>
        <w:t xml:space="preserve">state policies supporting alternative forms of children care. </w:t>
      </w:r>
      <w:r w:rsidR="00615F91" w:rsidRPr="00C939CE">
        <w:rPr>
          <w:rFonts w:ascii="Helvetica-Light" w:hAnsi="Helvetica-Light" w:cstheme="minorHAnsi"/>
        </w:rPr>
        <w:t>Despite these encouraging numbers</w:t>
      </w:r>
      <w:r w:rsidRPr="00C939CE">
        <w:rPr>
          <w:rFonts w:ascii="Helvetica-Light" w:hAnsi="Helvetica-Light" w:cstheme="minorHAnsi"/>
        </w:rPr>
        <w:t xml:space="preserve">, stakeholder </w:t>
      </w:r>
      <w:r w:rsidR="00B02944" w:rsidRPr="00C939CE">
        <w:rPr>
          <w:rFonts w:ascii="Helvetica-Light" w:hAnsi="Helvetica-Light" w:cstheme="minorHAnsi"/>
        </w:rPr>
        <w:t>consultations</w:t>
      </w:r>
      <w:r w:rsidR="00615F91" w:rsidRPr="00C939CE">
        <w:rPr>
          <w:rFonts w:ascii="Helvetica-Light" w:hAnsi="Helvetica-Light" w:cstheme="minorHAnsi"/>
        </w:rPr>
        <w:t xml:space="preserve"> suggested</w:t>
      </w:r>
      <w:r w:rsidRPr="00C939CE">
        <w:rPr>
          <w:rFonts w:ascii="Helvetica-Light" w:hAnsi="Helvetica-Light" w:cstheme="minorHAnsi"/>
        </w:rPr>
        <w:t xml:space="preserve"> that </w:t>
      </w:r>
      <w:r w:rsidRPr="00C939CE">
        <w:rPr>
          <w:rFonts w:ascii="Helvetica-Light" w:hAnsi="Helvetica-Light" w:cstheme="minorHAnsi"/>
          <w:b/>
        </w:rPr>
        <w:t>children offered for adoption</w:t>
      </w:r>
      <w:r w:rsidR="000D576C">
        <w:rPr>
          <w:rFonts w:ascii="Helvetica-Light" w:hAnsi="Helvetica-Light" w:cstheme="minorHAnsi"/>
          <w:b/>
        </w:rPr>
        <w:t xml:space="preserve"> </w:t>
      </w:r>
      <w:r w:rsidR="0003281C" w:rsidRPr="00C939CE">
        <w:rPr>
          <w:rFonts w:ascii="Helvetica-Light" w:hAnsi="Helvetica-Light" w:cstheme="minorHAnsi"/>
        </w:rPr>
        <w:t>remain</w:t>
      </w:r>
      <w:r w:rsidRPr="00C939CE">
        <w:rPr>
          <w:rFonts w:ascii="Helvetica-Light" w:hAnsi="Helvetica-Light" w:cstheme="minorHAnsi"/>
        </w:rPr>
        <w:t xml:space="preserve"> one of the most vulnerable groups exposed to the risk of homelessness</w:t>
      </w:r>
      <w:r w:rsidRPr="00C939CE">
        <w:rPr>
          <w:rFonts w:ascii="Helvetica-Light" w:hAnsi="Helvetica-Light" w:cstheme="minorHAnsi"/>
          <w:b/>
        </w:rPr>
        <w:t xml:space="preserve">, especially the ones from </w:t>
      </w:r>
      <w:r w:rsidR="00615F91" w:rsidRPr="00C939CE">
        <w:rPr>
          <w:rFonts w:ascii="Helvetica-Light" w:hAnsi="Helvetica-Light" w:cstheme="minorHAnsi"/>
          <w:b/>
        </w:rPr>
        <w:t xml:space="preserve">the </w:t>
      </w:r>
      <w:r w:rsidRPr="00C939CE">
        <w:rPr>
          <w:rFonts w:ascii="Helvetica-Light" w:hAnsi="Helvetica-Light" w:cstheme="minorHAnsi"/>
          <w:b/>
        </w:rPr>
        <w:t>16-18 age group</w:t>
      </w:r>
      <w:r w:rsidRPr="00C939CE">
        <w:rPr>
          <w:rFonts w:ascii="Helvetica-Light" w:hAnsi="Helvetica-Light" w:cstheme="minorHAnsi"/>
        </w:rPr>
        <w:t xml:space="preserve">. According to Social Service Agency (SSA) data, </w:t>
      </w:r>
      <w:r w:rsidR="00615F91" w:rsidRPr="00C939CE">
        <w:rPr>
          <w:rFonts w:ascii="Helvetica-Light" w:hAnsi="Helvetica-Light" w:cstheme="minorHAnsi"/>
        </w:rPr>
        <w:t xml:space="preserve">since </w:t>
      </w:r>
      <w:r w:rsidRPr="00C939CE">
        <w:rPr>
          <w:rFonts w:ascii="Helvetica-Light" w:hAnsi="Helvetica-Light" w:cstheme="minorHAnsi"/>
        </w:rPr>
        <w:t xml:space="preserve">2013 only </w:t>
      </w:r>
      <w:r w:rsidR="0003281C" w:rsidRPr="00C939CE">
        <w:rPr>
          <w:rFonts w:ascii="Helvetica-Light" w:hAnsi="Helvetica-Light" w:cstheme="minorHAnsi"/>
        </w:rPr>
        <w:t xml:space="preserve">a </w:t>
      </w:r>
      <w:r w:rsidRPr="00C939CE">
        <w:rPr>
          <w:rFonts w:ascii="Helvetica-Light" w:hAnsi="Helvetica-Light" w:cstheme="minorHAnsi"/>
        </w:rPr>
        <w:t xml:space="preserve">negligible number of these </w:t>
      </w:r>
      <w:r w:rsidRPr="00C939CE">
        <w:rPr>
          <w:rFonts w:ascii="Helvetica-Light" w:hAnsi="Helvetica-Light" w:cstheme="minorHAnsi"/>
        </w:rPr>
        <w:lastRenderedPageBreak/>
        <w:t xml:space="preserve">children got adopted, meaning that the rest of them remained </w:t>
      </w:r>
      <w:r w:rsidR="0003281C" w:rsidRPr="00C939CE">
        <w:rPr>
          <w:rFonts w:ascii="Helvetica-Light" w:hAnsi="Helvetica-Light" w:cstheme="minorHAnsi"/>
        </w:rPr>
        <w:t xml:space="preserve">without parental care </w:t>
      </w:r>
      <w:r w:rsidRPr="00C939CE">
        <w:rPr>
          <w:rFonts w:ascii="Helvetica-Light" w:hAnsi="Helvetica-Light" w:cstheme="minorHAnsi"/>
        </w:rPr>
        <w:t>(during 2013-2018 only 217 children</w:t>
      </w:r>
      <w:r w:rsidR="000D576C">
        <w:rPr>
          <w:rFonts w:ascii="Helvetica-Light" w:hAnsi="Helvetica-Light" w:cstheme="minorHAnsi"/>
        </w:rPr>
        <w:t xml:space="preserve"> </w:t>
      </w:r>
      <w:r w:rsidR="00615F91" w:rsidRPr="00C939CE">
        <w:rPr>
          <w:rFonts w:ascii="Helvetica-Light" w:hAnsi="Helvetica-Light" w:cstheme="minorHAnsi"/>
        </w:rPr>
        <w:t xml:space="preserve">within this age group </w:t>
      </w:r>
      <w:r w:rsidR="00FA4B6D" w:rsidRPr="00C939CE">
        <w:rPr>
          <w:rFonts w:ascii="Helvetica-Light" w:hAnsi="Helvetica-Light" w:cstheme="minorHAnsi"/>
        </w:rPr>
        <w:t>were adopted</w:t>
      </w:r>
      <w:r w:rsidRPr="00C939CE">
        <w:rPr>
          <w:rFonts w:ascii="Helvetica-Light" w:hAnsi="Helvetica-Light" w:cstheme="minorHAnsi"/>
        </w:rPr>
        <w:t>).</w:t>
      </w:r>
    </w:p>
    <w:p w14:paraId="441DB037" w14:textId="77777777" w:rsidR="003825E5" w:rsidRPr="00C939CE" w:rsidRDefault="005F780C" w:rsidP="00146328">
      <w:pPr>
        <w:spacing w:after="240" w:line="240" w:lineRule="auto"/>
        <w:jc w:val="both"/>
        <w:rPr>
          <w:rFonts w:ascii="Helvetica-Light" w:hAnsi="Helvetica-Light" w:cstheme="minorHAnsi"/>
        </w:rPr>
      </w:pPr>
      <w:r w:rsidRPr="00C939CE">
        <w:rPr>
          <w:rFonts w:ascii="Helvetica-Light" w:hAnsi="Helvetica-Light" w:cstheme="minorHAnsi"/>
        </w:rPr>
        <w:t>The</w:t>
      </w:r>
      <w:r w:rsidR="003825E5" w:rsidRPr="00C939CE">
        <w:rPr>
          <w:rFonts w:ascii="Helvetica-Light" w:hAnsi="Helvetica-Light" w:cstheme="minorHAnsi"/>
        </w:rPr>
        <w:t xml:space="preserve"> number of </w:t>
      </w:r>
      <w:r w:rsidR="003825E5" w:rsidRPr="00C939CE">
        <w:rPr>
          <w:rFonts w:ascii="Helvetica-Light" w:hAnsi="Helvetica-Light" w:cstheme="minorHAnsi"/>
          <w:b/>
        </w:rPr>
        <w:t xml:space="preserve">people with disabilities </w:t>
      </w:r>
      <w:r w:rsidR="003825E5" w:rsidRPr="00C939CE">
        <w:rPr>
          <w:rFonts w:ascii="Helvetica-Light" w:hAnsi="Helvetica-Light" w:cstheme="minorHAnsi"/>
          <w:bCs/>
        </w:rPr>
        <w:t xml:space="preserve">living in </w:t>
      </w:r>
      <w:r w:rsidR="00113928" w:rsidRPr="00C939CE">
        <w:rPr>
          <w:rFonts w:ascii="Helvetica-Light" w:hAnsi="Helvetica-Light" w:cstheme="minorHAnsi"/>
        </w:rPr>
        <w:t>ATIP Fund administered houses</w:t>
      </w:r>
      <w:r w:rsidR="000D576C">
        <w:rPr>
          <w:rFonts w:ascii="Helvetica-Light" w:hAnsi="Helvetica-Light" w:cstheme="minorHAnsi"/>
        </w:rPr>
        <w:t xml:space="preserve"> </w:t>
      </w:r>
      <w:r w:rsidR="003825E5" w:rsidRPr="00C939CE">
        <w:rPr>
          <w:rFonts w:ascii="Helvetica-Light" w:hAnsi="Helvetica-Light" w:cstheme="minorHAnsi"/>
          <w:bCs/>
        </w:rPr>
        <w:t>d</w:t>
      </w:r>
      <w:r w:rsidR="003825E5" w:rsidRPr="00C939CE">
        <w:rPr>
          <w:rFonts w:ascii="Helvetica-Light" w:hAnsi="Helvetica-Light" w:cstheme="minorHAnsi"/>
        </w:rPr>
        <w:t xml:space="preserve">oes not seem </w:t>
      </w:r>
      <w:r w:rsidR="00615F91" w:rsidRPr="00C939CE">
        <w:rPr>
          <w:rFonts w:ascii="Helvetica-Light" w:hAnsi="Helvetica-Light" w:cstheme="minorHAnsi"/>
        </w:rPr>
        <w:t xml:space="preserve">to </w:t>
      </w:r>
      <w:r w:rsidR="007A239F" w:rsidRPr="00C939CE">
        <w:rPr>
          <w:rFonts w:ascii="Helvetica-Light" w:hAnsi="Helvetica-Light" w:cstheme="minorHAnsi"/>
        </w:rPr>
        <w:t xml:space="preserve">have </w:t>
      </w:r>
      <w:r w:rsidR="00113928" w:rsidRPr="00C939CE">
        <w:rPr>
          <w:rFonts w:ascii="Helvetica-Light" w:hAnsi="Helvetica-Light" w:cstheme="minorHAnsi"/>
        </w:rPr>
        <w:t>followed</w:t>
      </w:r>
      <w:r w:rsidR="003825E5" w:rsidRPr="00C939CE">
        <w:rPr>
          <w:rFonts w:ascii="Helvetica-Light" w:hAnsi="Helvetica-Light" w:cstheme="minorHAnsi"/>
        </w:rPr>
        <w:t xml:space="preserve"> a clear trend during the last 8 </w:t>
      </w:r>
      <w:r w:rsidR="00B02944" w:rsidRPr="00C939CE">
        <w:rPr>
          <w:rFonts w:ascii="Helvetica-Light" w:hAnsi="Helvetica-Light" w:cstheme="minorHAnsi"/>
        </w:rPr>
        <w:t>years</w:t>
      </w:r>
      <w:r w:rsidR="00113928" w:rsidRPr="00C939CE">
        <w:rPr>
          <w:rFonts w:ascii="Helvetica-Light" w:hAnsi="Helvetica-Light" w:cstheme="minorHAnsi"/>
        </w:rPr>
        <w:t>. H</w:t>
      </w:r>
      <w:r w:rsidR="003825E5" w:rsidRPr="00C939CE">
        <w:rPr>
          <w:rFonts w:ascii="Helvetica-Light" w:hAnsi="Helvetica-Light" w:cstheme="minorHAnsi"/>
        </w:rPr>
        <w:t>owever</w:t>
      </w:r>
      <w:r w:rsidR="00113928" w:rsidRPr="00C939CE">
        <w:rPr>
          <w:rFonts w:ascii="Helvetica-Light" w:hAnsi="Helvetica-Light" w:cstheme="minorHAnsi"/>
        </w:rPr>
        <w:t>,</w:t>
      </w:r>
      <w:r w:rsidR="003825E5" w:rsidRPr="00C939CE">
        <w:rPr>
          <w:rFonts w:ascii="Helvetica-Light" w:hAnsi="Helvetica-Light" w:cstheme="minorHAnsi"/>
        </w:rPr>
        <w:t xml:space="preserve"> the number of beneficiaries </w:t>
      </w:r>
      <w:r w:rsidR="002050BC" w:rsidRPr="00C939CE">
        <w:rPr>
          <w:rFonts w:ascii="Helvetica-Light" w:hAnsi="Helvetica-Light" w:cstheme="minorHAnsi"/>
        </w:rPr>
        <w:t xml:space="preserve">has been </w:t>
      </w:r>
      <w:r w:rsidR="003825E5" w:rsidRPr="00C939CE">
        <w:rPr>
          <w:rFonts w:ascii="Helvetica-Light" w:hAnsi="Helvetica-Light" w:cstheme="minorHAnsi"/>
        </w:rPr>
        <w:t>increasing substantially in community organizations over the years.</w:t>
      </w:r>
    </w:p>
    <w:p w14:paraId="41FDF8AF" w14:textId="77777777" w:rsidR="00037180" w:rsidRPr="00C939CE" w:rsidRDefault="003825E5" w:rsidP="00146328">
      <w:pPr>
        <w:spacing w:after="240" w:line="240" w:lineRule="auto"/>
        <w:jc w:val="both"/>
        <w:rPr>
          <w:rFonts w:ascii="Helvetica-Light" w:hAnsi="Helvetica-Light" w:cstheme="minorHAnsi"/>
        </w:rPr>
      </w:pPr>
      <w:r w:rsidRPr="00C939CE">
        <w:rPr>
          <w:rFonts w:ascii="Helvetica-Light" w:hAnsi="Helvetica-Light" w:cstheme="minorHAnsi"/>
        </w:rPr>
        <w:t xml:space="preserve">As for the number of beneficiaries in </w:t>
      </w:r>
      <w:r w:rsidRPr="00C939CE">
        <w:rPr>
          <w:rFonts w:ascii="Helvetica-Light" w:hAnsi="Helvetica-Light" w:cstheme="minorHAnsi"/>
          <w:b/>
          <w:bCs/>
          <w:i/>
          <w:iCs/>
        </w:rPr>
        <w:t xml:space="preserve">elderly houses and community organizations, </w:t>
      </w:r>
      <w:r w:rsidR="006A7572" w:rsidRPr="00C939CE">
        <w:rPr>
          <w:rFonts w:ascii="Helvetica-Light" w:hAnsi="Helvetica-Light" w:cstheme="minorHAnsi"/>
        </w:rPr>
        <w:t>the number in</w:t>
      </w:r>
      <w:r w:rsidR="000D576C">
        <w:rPr>
          <w:rFonts w:ascii="Helvetica-Light" w:hAnsi="Helvetica-Light" w:cstheme="minorHAnsi"/>
        </w:rPr>
        <w:t xml:space="preserve"> </w:t>
      </w:r>
      <w:r w:rsidRPr="00C939CE">
        <w:rPr>
          <w:rFonts w:ascii="Helvetica-Light" w:hAnsi="Helvetica-Light" w:cstheme="minorHAnsi"/>
        </w:rPr>
        <w:t xml:space="preserve">Boarding Houses for Elderly people (one in Tbilisi and one in Kutaisi) </w:t>
      </w:r>
      <w:r w:rsidR="002050BC" w:rsidRPr="00C939CE">
        <w:rPr>
          <w:rFonts w:ascii="Helvetica-Light" w:hAnsi="Helvetica-Light" w:cstheme="minorHAnsi"/>
        </w:rPr>
        <w:t xml:space="preserve">has been </w:t>
      </w:r>
      <w:r w:rsidRPr="00C939CE">
        <w:rPr>
          <w:rFonts w:ascii="Helvetica-Light" w:hAnsi="Helvetica-Light" w:cstheme="minorHAnsi"/>
        </w:rPr>
        <w:t>decreasing over the years</w:t>
      </w:r>
      <w:r w:rsidR="006A7572" w:rsidRPr="00C939CE">
        <w:rPr>
          <w:rStyle w:val="Rimandonotaapidipagina"/>
          <w:rFonts w:ascii="Helvetica-Light" w:hAnsi="Helvetica-Light" w:cstheme="minorHAnsi"/>
        </w:rPr>
        <w:footnoteReference w:id="8"/>
      </w:r>
      <w:r w:rsidR="005F58FC" w:rsidRPr="00C939CE">
        <w:rPr>
          <w:rFonts w:ascii="Helvetica-Light" w:hAnsi="Helvetica-Light" w:cstheme="minorHAnsi"/>
        </w:rPr>
        <w:t>, w</w:t>
      </w:r>
      <w:r w:rsidR="006A7572" w:rsidRPr="00C939CE">
        <w:rPr>
          <w:rFonts w:ascii="Helvetica-Light" w:hAnsi="Helvetica-Light" w:cstheme="minorHAnsi"/>
        </w:rPr>
        <w:t xml:space="preserve">hile the number of elderly people in </w:t>
      </w:r>
      <w:r w:rsidR="00D87BF2" w:rsidRPr="00C939CE">
        <w:rPr>
          <w:rFonts w:ascii="Helvetica-Light" w:hAnsi="Helvetica-Light" w:cstheme="minorHAnsi"/>
        </w:rPr>
        <w:t xml:space="preserve">community organizations </w:t>
      </w:r>
      <w:r w:rsidR="006A7572" w:rsidRPr="00C939CE">
        <w:rPr>
          <w:rFonts w:ascii="Helvetica-Light" w:hAnsi="Helvetica-Light" w:cstheme="minorHAnsi"/>
        </w:rPr>
        <w:t xml:space="preserve">under the </w:t>
      </w:r>
      <w:r w:rsidR="00D87BF2" w:rsidRPr="00C939CE">
        <w:rPr>
          <w:rFonts w:ascii="Helvetica-Light" w:hAnsi="Helvetica-Light" w:cstheme="minorHAnsi"/>
        </w:rPr>
        <w:t>supervision of SS</w:t>
      </w:r>
      <w:r w:rsidR="006A7572" w:rsidRPr="00C939CE">
        <w:rPr>
          <w:rFonts w:ascii="Helvetica-Light" w:hAnsi="Helvetica-Light" w:cstheme="minorHAnsi"/>
        </w:rPr>
        <w:t>A</w:t>
      </w:r>
      <w:r w:rsidR="00D87BF2" w:rsidRPr="00C939CE">
        <w:rPr>
          <w:rFonts w:ascii="Helvetica-Light" w:hAnsi="Helvetica-Light" w:cstheme="minorHAnsi"/>
        </w:rPr>
        <w:t xml:space="preserve"> has been increasing significantly (from 12 beneficiaries in 2012 to 145 beneficiaries in 2018).</w:t>
      </w:r>
    </w:p>
    <w:p w14:paraId="473A2F16" w14:textId="77777777" w:rsidR="00037180" w:rsidRPr="00C939CE" w:rsidRDefault="00037180" w:rsidP="00146328">
      <w:pPr>
        <w:spacing w:after="240" w:line="240" w:lineRule="auto"/>
        <w:jc w:val="both"/>
        <w:rPr>
          <w:rFonts w:ascii="Helvetica-Light" w:hAnsi="Helvetica-Light" w:cstheme="minorHAnsi"/>
        </w:rPr>
      </w:pPr>
      <w:r w:rsidRPr="00C939CE">
        <w:rPr>
          <w:rFonts w:ascii="Helvetica-Light" w:hAnsi="Helvetica-Light" w:cstheme="minorHAnsi"/>
        </w:rPr>
        <w:t>F</w:t>
      </w:r>
      <w:r w:rsidR="009868FA" w:rsidRPr="00C939CE">
        <w:rPr>
          <w:rFonts w:ascii="Helvetica-Light" w:hAnsi="Helvetica-Light" w:cstheme="minorHAnsi"/>
        </w:rPr>
        <w:t xml:space="preserve">or other groups that are extremely prone to the threat of homelessness, such as substance users, we could not identify </w:t>
      </w:r>
      <w:r w:rsidRPr="00C939CE">
        <w:rPr>
          <w:rFonts w:ascii="Helvetica-Light" w:hAnsi="Helvetica-Light" w:cstheme="minorHAnsi"/>
        </w:rPr>
        <w:t xml:space="preserve">any </w:t>
      </w:r>
      <w:r w:rsidR="009868FA" w:rsidRPr="00C939CE">
        <w:rPr>
          <w:rFonts w:ascii="Helvetica-Light" w:hAnsi="Helvetica-Light" w:cstheme="minorHAnsi"/>
        </w:rPr>
        <w:t xml:space="preserve">targeted </w:t>
      </w:r>
      <w:r w:rsidRPr="00C939CE">
        <w:rPr>
          <w:rFonts w:ascii="Helvetica-Light" w:hAnsi="Helvetica-Light" w:cstheme="minorHAnsi"/>
        </w:rPr>
        <w:t xml:space="preserve">state-level social </w:t>
      </w:r>
      <w:r w:rsidR="009868FA" w:rsidRPr="00C939CE">
        <w:rPr>
          <w:rFonts w:ascii="Helvetica-Light" w:hAnsi="Helvetica-Light" w:cstheme="minorHAnsi"/>
        </w:rPr>
        <w:t xml:space="preserve">program, </w:t>
      </w:r>
      <w:r w:rsidRPr="00C939CE">
        <w:rPr>
          <w:rFonts w:ascii="Helvetica-Light" w:hAnsi="Helvetica-Light" w:cstheme="minorHAnsi"/>
        </w:rPr>
        <w:t>no</w:t>
      </w:r>
      <w:r w:rsidR="009868FA" w:rsidRPr="00C939CE">
        <w:rPr>
          <w:rFonts w:ascii="Helvetica-Light" w:hAnsi="Helvetica-Light" w:cstheme="minorHAnsi"/>
        </w:rPr>
        <w:t>r any</w:t>
      </w:r>
      <w:r w:rsidRPr="00C939CE">
        <w:rPr>
          <w:rFonts w:ascii="Helvetica-Light" w:hAnsi="Helvetica-Light" w:cstheme="minorHAnsi"/>
        </w:rPr>
        <w:t xml:space="preserve"> database that allows estimating the scale of the problem.</w:t>
      </w:r>
    </w:p>
    <w:p w14:paraId="1E2D2CD8" w14:textId="77777777" w:rsidR="005F58FC" w:rsidRPr="00C939CE" w:rsidRDefault="005F58FC" w:rsidP="00146328">
      <w:pPr>
        <w:spacing w:after="240" w:line="240" w:lineRule="auto"/>
        <w:jc w:val="both"/>
        <w:rPr>
          <w:rFonts w:ascii="Helvetica-Light" w:hAnsi="Helvetica-Light" w:cstheme="minorHAnsi"/>
        </w:rPr>
      </w:pPr>
      <w:r w:rsidRPr="00C939CE">
        <w:rPr>
          <w:rFonts w:ascii="Helvetica-Light" w:hAnsi="Helvetica-Light" w:cstheme="minorHAnsi"/>
        </w:rPr>
        <w:t>Unfortunately, the trend</w:t>
      </w:r>
      <w:r w:rsidR="00615F91" w:rsidRPr="00C939CE">
        <w:rPr>
          <w:rFonts w:ascii="Helvetica-Light" w:hAnsi="Helvetica-Light" w:cstheme="minorHAnsi"/>
        </w:rPr>
        <w:t>s</w:t>
      </w:r>
      <w:r w:rsidR="000D576C">
        <w:rPr>
          <w:rFonts w:ascii="Helvetica-Light" w:hAnsi="Helvetica-Light" w:cstheme="minorHAnsi"/>
        </w:rPr>
        <w:t xml:space="preserve"> </w:t>
      </w:r>
      <w:r w:rsidR="00615F91" w:rsidRPr="00C939CE">
        <w:rPr>
          <w:rFonts w:ascii="Helvetica-Light" w:hAnsi="Helvetica-Light" w:cstheme="minorHAnsi"/>
        </w:rPr>
        <w:t xml:space="preserve">characterizing the </w:t>
      </w:r>
      <w:r w:rsidRPr="00C939CE">
        <w:rPr>
          <w:rFonts w:ascii="Helvetica-Light" w:hAnsi="Helvetica-Light" w:cstheme="minorHAnsi"/>
        </w:rPr>
        <w:t>phenomena of homelessness and rooflessness cannot be reconstructed due to unavailability of the necessary data.</w:t>
      </w:r>
    </w:p>
    <w:p w14:paraId="461E29BE" w14:textId="77777777" w:rsidR="00F738DD" w:rsidRPr="006B348D" w:rsidRDefault="00F738DD" w:rsidP="00146328">
      <w:pPr>
        <w:spacing w:after="240" w:line="240" w:lineRule="auto"/>
        <w:jc w:val="both"/>
        <w:rPr>
          <w:rFonts w:ascii="Helvetica-Light" w:hAnsi="Helvetica-Light" w:cstheme="minorHAnsi"/>
          <w:lang w:val="en-GB"/>
        </w:rPr>
      </w:pPr>
      <w:r w:rsidRPr="006B348D">
        <w:rPr>
          <w:rFonts w:ascii="Helvetica-Light" w:hAnsi="Helvetica-Light" w:cstheme="minorHAnsi"/>
          <w:lang w:val="en-GB"/>
        </w:rPr>
        <w:t xml:space="preserve">Not all the municipalities (even the ones which </w:t>
      </w:r>
      <w:r w:rsidR="00615F91" w:rsidRPr="006B348D">
        <w:rPr>
          <w:rFonts w:ascii="Helvetica-Light" w:hAnsi="Helvetica-Light" w:cstheme="minorHAnsi"/>
          <w:lang w:val="en-GB"/>
        </w:rPr>
        <w:t>register the</w:t>
      </w:r>
      <w:r w:rsidRPr="006B348D">
        <w:rPr>
          <w:rFonts w:ascii="Helvetica-Light" w:hAnsi="Helvetica-Light" w:cstheme="minorHAnsi"/>
          <w:lang w:val="en-GB"/>
        </w:rPr>
        <w:t xml:space="preserve"> homeless) can offer adequate support to the</w:t>
      </w:r>
      <w:r w:rsidR="00615F91" w:rsidRPr="006B348D">
        <w:rPr>
          <w:rFonts w:ascii="Helvetica-Light" w:hAnsi="Helvetica-Light" w:cstheme="minorHAnsi"/>
          <w:lang w:val="en-GB"/>
        </w:rPr>
        <w:t>ir</w:t>
      </w:r>
      <w:r w:rsidRPr="006B348D">
        <w:rPr>
          <w:rFonts w:ascii="Helvetica-Light" w:hAnsi="Helvetica-Light" w:cstheme="minorHAnsi"/>
          <w:lang w:val="en-GB"/>
        </w:rPr>
        <w:t xml:space="preserve"> citizens</w:t>
      </w:r>
      <w:r w:rsidRPr="006B348D">
        <w:rPr>
          <w:rStyle w:val="Rimandonotaapidipagina"/>
          <w:rFonts w:ascii="Helvetica-Light" w:hAnsi="Helvetica-Light" w:cstheme="minorHAnsi"/>
          <w:lang w:val="en-GB"/>
        </w:rPr>
        <w:footnoteReference w:id="9"/>
      </w:r>
      <w:r w:rsidRPr="006B348D">
        <w:rPr>
          <w:rFonts w:ascii="Helvetica-Light" w:hAnsi="Helvetica-Light" w:cstheme="minorHAnsi"/>
          <w:lang w:val="en-GB"/>
        </w:rPr>
        <w:t xml:space="preserve">, and the programs implemented by the municipalities differ widely. </w:t>
      </w:r>
      <w:r w:rsidRPr="006B348D">
        <w:rPr>
          <w:rFonts w:ascii="Helvetica-Light" w:hAnsi="Helvetica-Light" w:cstheme="minorHAnsi"/>
          <w:b/>
          <w:bCs/>
          <w:lang w:val="en-GB"/>
        </w:rPr>
        <w:t>Some municipalities provide monetary transfers to the households, on a monthly basis, to support house</w:t>
      </w:r>
      <w:r w:rsidR="000D576C">
        <w:rPr>
          <w:rFonts w:ascii="Helvetica-Light" w:hAnsi="Helvetica-Light" w:cstheme="minorHAnsi"/>
          <w:b/>
          <w:bCs/>
          <w:lang w:val="en-GB"/>
        </w:rPr>
        <w:t xml:space="preserve"> </w:t>
      </w:r>
      <w:r w:rsidRPr="006B348D">
        <w:rPr>
          <w:rFonts w:ascii="Helvetica-Light" w:hAnsi="Helvetica-Light" w:cstheme="minorHAnsi"/>
          <w:b/>
          <w:bCs/>
          <w:lang w:val="en-GB"/>
        </w:rPr>
        <w:t>rentals</w:t>
      </w:r>
      <w:r w:rsidRPr="006B348D">
        <w:rPr>
          <w:rFonts w:ascii="Helvetica-Light" w:hAnsi="Helvetica-Light" w:cstheme="minorHAnsi"/>
          <w:lang w:val="en-GB"/>
        </w:rPr>
        <w:t xml:space="preserve"> (in most of the cases monthly payments do not exceed GEL 100). </w:t>
      </w:r>
      <w:r w:rsidRPr="006B348D">
        <w:rPr>
          <w:rFonts w:ascii="Helvetica-Light" w:hAnsi="Helvetica-Light" w:cstheme="minorHAnsi"/>
          <w:b/>
          <w:bCs/>
          <w:lang w:val="en-GB"/>
        </w:rPr>
        <w:t>Other offer</w:t>
      </w:r>
      <w:r w:rsidR="000D576C">
        <w:rPr>
          <w:rFonts w:ascii="Helvetica-Light" w:hAnsi="Helvetica-Light" w:cstheme="minorHAnsi"/>
          <w:b/>
          <w:bCs/>
          <w:lang w:val="en-GB"/>
        </w:rPr>
        <w:t xml:space="preserve"> </w:t>
      </w:r>
      <w:r w:rsidRPr="006B348D">
        <w:rPr>
          <w:rFonts w:ascii="Helvetica-Light" w:hAnsi="Helvetica-Light" w:cstheme="minorHAnsi"/>
          <w:b/>
          <w:bCs/>
          <w:lang w:val="en-GB"/>
        </w:rPr>
        <w:t>temporary shelters</w:t>
      </w:r>
      <w:r w:rsidRPr="006B348D">
        <w:rPr>
          <w:rFonts w:ascii="Helvetica-Light" w:hAnsi="Helvetica-Light" w:cstheme="minorHAnsi"/>
          <w:lang w:val="en-GB"/>
        </w:rPr>
        <w:t xml:space="preserve">. Lastly, </w:t>
      </w:r>
      <w:r w:rsidRPr="006B348D">
        <w:rPr>
          <w:rFonts w:ascii="Helvetica-Light" w:hAnsi="Helvetica-Light" w:cstheme="minorHAnsi"/>
          <w:b/>
          <w:bCs/>
          <w:lang w:val="en-GB"/>
        </w:rPr>
        <w:t>several municipalities implement programs which support families to build and/or purchase a house</w:t>
      </w:r>
      <w:r w:rsidRPr="006B348D">
        <w:rPr>
          <w:rFonts w:ascii="Helvetica-Light" w:hAnsi="Helvetica-Light" w:cstheme="minorHAnsi"/>
          <w:lang w:val="en-GB"/>
        </w:rPr>
        <w:t xml:space="preserve">, which will be </w:t>
      </w:r>
      <w:r w:rsidR="00615F91" w:rsidRPr="006B348D">
        <w:rPr>
          <w:rFonts w:ascii="Helvetica-Light" w:hAnsi="Helvetica-Light" w:cstheme="minorHAnsi"/>
          <w:lang w:val="en-GB"/>
        </w:rPr>
        <w:t xml:space="preserve">at </w:t>
      </w:r>
      <w:r w:rsidRPr="006B348D">
        <w:rPr>
          <w:rFonts w:ascii="Helvetica-Light" w:hAnsi="Helvetica-Light" w:cstheme="minorHAnsi"/>
          <w:lang w:val="en-GB"/>
        </w:rPr>
        <w:t>their disposal.</w:t>
      </w:r>
    </w:p>
    <w:p w14:paraId="0E343E9C" w14:textId="77777777" w:rsidR="00F738DD" w:rsidRPr="006B348D" w:rsidRDefault="00F738DD" w:rsidP="00146328">
      <w:pPr>
        <w:spacing w:after="240" w:line="240" w:lineRule="auto"/>
        <w:jc w:val="both"/>
        <w:rPr>
          <w:rFonts w:ascii="Helvetica-Light" w:hAnsi="Helvetica-Light" w:cstheme="minorHAnsi"/>
        </w:rPr>
      </w:pPr>
      <w:r w:rsidRPr="006B348D">
        <w:rPr>
          <w:rFonts w:ascii="Helvetica-Light" w:hAnsi="Helvetica-Light" w:cstheme="minorHAnsi"/>
          <w:lang w:val="en-GB"/>
        </w:rPr>
        <w:t xml:space="preserve">Tbilisi and Batumi municipalities offer night shelters for homeless people (only to those registered homeless who are living </w:t>
      </w:r>
      <w:r w:rsidR="00615F91" w:rsidRPr="006B348D">
        <w:rPr>
          <w:rFonts w:ascii="Helvetica-Light" w:hAnsi="Helvetica-Light" w:cstheme="minorHAnsi"/>
          <w:lang w:val="en-GB"/>
        </w:rPr>
        <w:t xml:space="preserve">within </w:t>
      </w:r>
      <w:r w:rsidRPr="006B348D">
        <w:rPr>
          <w:rFonts w:ascii="Helvetica-Light" w:hAnsi="Helvetica-Light" w:cstheme="minorHAnsi"/>
          <w:lang w:val="en-GB"/>
        </w:rPr>
        <w:t xml:space="preserve">the administrative borders of that particular municipality). </w:t>
      </w:r>
      <w:r w:rsidRPr="006B348D">
        <w:rPr>
          <w:rFonts w:ascii="Helvetica-Light" w:hAnsi="Helvetica-Light" w:cstheme="minorHAnsi"/>
        </w:rPr>
        <w:t xml:space="preserve">In the </w:t>
      </w:r>
      <w:proofErr w:type="gramStart"/>
      <w:r w:rsidRPr="006B348D">
        <w:rPr>
          <w:rFonts w:ascii="Helvetica-Light" w:hAnsi="Helvetica-Light" w:cstheme="minorHAnsi"/>
        </w:rPr>
        <w:t>shelter</w:t>
      </w:r>
      <w:r w:rsidR="00615F91" w:rsidRPr="006B348D">
        <w:rPr>
          <w:rFonts w:ascii="Helvetica-Light" w:hAnsi="Helvetica-Light" w:cstheme="minorHAnsi"/>
        </w:rPr>
        <w:t>s</w:t>
      </w:r>
      <w:proofErr w:type="gramEnd"/>
      <w:r w:rsidRPr="006B348D">
        <w:rPr>
          <w:rFonts w:ascii="Helvetica-Light" w:hAnsi="Helvetica-Light" w:cstheme="minorHAnsi"/>
        </w:rPr>
        <w:t xml:space="preserve"> beneficiaries are provided with basic hygienic service</w:t>
      </w:r>
      <w:r w:rsidR="00615F91" w:rsidRPr="006B348D">
        <w:rPr>
          <w:rFonts w:ascii="Helvetica-Light" w:hAnsi="Helvetica-Light" w:cstheme="minorHAnsi"/>
        </w:rPr>
        <w:t>s</w:t>
      </w:r>
      <w:r w:rsidRPr="006B348D">
        <w:rPr>
          <w:rFonts w:ascii="Helvetica-Light" w:hAnsi="Helvetica-Light" w:cstheme="minorHAnsi"/>
        </w:rPr>
        <w:t xml:space="preserve"> and food. However, shelters are never full at their maximum capacity due to the fact that</w:t>
      </w:r>
      <w:r w:rsidR="00615F91" w:rsidRPr="006B348D">
        <w:rPr>
          <w:rFonts w:ascii="Helvetica-Light" w:hAnsi="Helvetica-Light" w:cstheme="minorHAnsi"/>
        </w:rPr>
        <w:t>,</w:t>
      </w:r>
      <w:r w:rsidRPr="006B348D">
        <w:rPr>
          <w:rFonts w:ascii="Helvetica-Light" w:hAnsi="Helvetica-Light" w:cstheme="minorHAnsi"/>
        </w:rPr>
        <w:t xml:space="preserve"> as beneficiaries report, </w:t>
      </w:r>
      <w:r w:rsidR="00615F91" w:rsidRPr="009A1C7F">
        <w:rPr>
          <w:rFonts w:ascii="Helvetica-Light" w:hAnsi="Helvetica-Light" w:cstheme="minorHAnsi"/>
        </w:rPr>
        <w:t xml:space="preserve">the homeless </w:t>
      </w:r>
      <w:r w:rsidRPr="009A1C7F">
        <w:rPr>
          <w:rFonts w:ascii="Helvetica-Light" w:hAnsi="Helvetica-Light" w:cstheme="minorHAnsi"/>
        </w:rPr>
        <w:t>do not find such shelters comfortable and suitable for their needs</w:t>
      </w:r>
      <w:r w:rsidR="009868FA" w:rsidRPr="009A1C7F">
        <w:rPr>
          <w:rStyle w:val="Rimandonotaapidipagina"/>
          <w:rFonts w:ascii="Helvetica-Light" w:hAnsi="Helvetica-Light" w:cstheme="minorHAnsi"/>
        </w:rPr>
        <w:footnoteReference w:id="10"/>
      </w:r>
      <w:r w:rsidRPr="009A1C7F">
        <w:rPr>
          <w:rFonts w:ascii="Helvetica-Light" w:hAnsi="Helvetica-Light" w:cstheme="minorHAnsi"/>
        </w:rPr>
        <w:t>.</w:t>
      </w:r>
    </w:p>
    <w:p w14:paraId="05529F52" w14:textId="77777777" w:rsidR="006B348D" w:rsidRDefault="00F738DD" w:rsidP="00146328">
      <w:pPr>
        <w:spacing w:after="240" w:line="240" w:lineRule="auto"/>
        <w:jc w:val="both"/>
        <w:rPr>
          <w:rFonts w:ascii="Helvetica-Light" w:hAnsi="Helvetica-Light" w:cstheme="minorHAnsi"/>
        </w:rPr>
      </w:pPr>
      <w:r w:rsidRPr="006B348D">
        <w:rPr>
          <w:rFonts w:ascii="Helvetica-Light" w:hAnsi="Helvetica-Light" w:cstheme="minorHAnsi"/>
        </w:rPr>
        <w:t xml:space="preserve">Noteworthy, there exists also a program of </w:t>
      </w:r>
      <w:r w:rsidRPr="006B348D">
        <w:rPr>
          <w:rFonts w:ascii="Helvetica-Light" w:hAnsi="Helvetica-Light" w:cstheme="minorHAnsi"/>
          <w:i/>
        </w:rPr>
        <w:t xml:space="preserve">Social Housing in a Positive Environment </w:t>
      </w:r>
      <w:r w:rsidRPr="006B348D">
        <w:rPr>
          <w:rFonts w:ascii="Helvetica-Light" w:hAnsi="Helvetica-Light" w:cstheme="minorHAnsi"/>
          <w:iCs/>
        </w:rPr>
        <w:t>(</w:t>
      </w:r>
      <w:r w:rsidR="00615F91" w:rsidRPr="006B348D">
        <w:rPr>
          <w:rFonts w:ascii="Helvetica-Light" w:hAnsi="Helvetica-Light" w:cstheme="minorHAnsi"/>
          <w:iCs/>
        </w:rPr>
        <w:t xml:space="preserve">developed in </w:t>
      </w:r>
      <w:r w:rsidRPr="006B348D">
        <w:rPr>
          <w:rFonts w:ascii="Helvetica-Light" w:hAnsi="Helvetica-Light" w:cstheme="minorHAnsi"/>
          <w:iCs/>
        </w:rPr>
        <w:t xml:space="preserve">Cooperation with </w:t>
      </w:r>
      <w:r w:rsidR="00615F91" w:rsidRPr="006B348D">
        <w:rPr>
          <w:rFonts w:ascii="Helvetica-Light" w:hAnsi="Helvetica-Light" w:cstheme="minorHAnsi"/>
          <w:iCs/>
        </w:rPr>
        <w:t xml:space="preserve">the </w:t>
      </w:r>
      <w:r w:rsidRPr="006B348D">
        <w:rPr>
          <w:rFonts w:ascii="Helvetica-Light" w:hAnsi="Helvetica-Light" w:cstheme="minorHAnsi"/>
        </w:rPr>
        <w:t xml:space="preserve">Swiss Agency for Development and Cooperation (SDC)) under which local municipalities address the social housing issues of local vulnerable groups. The primary goal of the project is to </w:t>
      </w:r>
      <w:r w:rsidRPr="006B348D">
        <w:rPr>
          <w:rFonts w:ascii="Helvetica-Light" w:hAnsi="Helvetica-Light" w:cstheme="minorHAnsi"/>
          <w:i/>
        </w:rPr>
        <w:t>provide homeless people or IDP population</w:t>
      </w:r>
      <w:r w:rsidRPr="006B348D">
        <w:rPr>
          <w:rFonts w:ascii="Helvetica-Light" w:hAnsi="Helvetica-Light" w:cstheme="minorHAnsi"/>
        </w:rPr>
        <w:t xml:space="preserve"> with </w:t>
      </w:r>
      <w:r w:rsidRPr="006B348D">
        <w:rPr>
          <w:rFonts w:ascii="Helvetica-Light" w:hAnsi="Helvetica-Light" w:cstheme="minorHAnsi"/>
          <w:u w:val="single"/>
        </w:rPr>
        <w:t>sustainable long-term dwellings</w:t>
      </w:r>
      <w:r w:rsidRPr="006B348D">
        <w:rPr>
          <w:rFonts w:ascii="Helvetica-Light" w:hAnsi="Helvetica-Light" w:cstheme="minorHAnsi"/>
        </w:rPr>
        <w:t>. SDC started building social houses in several cities of Georgia: Tbilisi, Kutaisi, Gori, Zugdidi, Rustavi, Batumi and Bolnisi. After finishing the construction</w:t>
      </w:r>
      <w:r w:rsidR="00615F91" w:rsidRPr="006B348D">
        <w:rPr>
          <w:rFonts w:ascii="Helvetica-Light" w:hAnsi="Helvetica-Light" w:cstheme="minorHAnsi"/>
        </w:rPr>
        <w:t>,</w:t>
      </w:r>
      <w:r w:rsidRPr="006B348D">
        <w:rPr>
          <w:rFonts w:ascii="Helvetica-Light" w:hAnsi="Helvetica-Light" w:cstheme="minorHAnsi"/>
        </w:rPr>
        <w:t xml:space="preserve"> all social dwellings were transferred into ownership of </w:t>
      </w:r>
      <w:r w:rsidR="00615F91" w:rsidRPr="006B348D">
        <w:rPr>
          <w:rFonts w:ascii="Helvetica-Light" w:hAnsi="Helvetica-Light" w:cstheme="minorHAnsi"/>
        </w:rPr>
        <w:t xml:space="preserve">the </w:t>
      </w:r>
      <w:r w:rsidRPr="006B348D">
        <w:rPr>
          <w:rFonts w:ascii="Helvetica-Light" w:hAnsi="Helvetica-Light" w:cstheme="minorHAnsi"/>
        </w:rPr>
        <w:t>respective municipalities. The houses are delivered to the beneficiaries for limited time period</w:t>
      </w:r>
      <w:r w:rsidR="00615F91" w:rsidRPr="006B348D">
        <w:rPr>
          <w:rFonts w:ascii="Helvetica-Light" w:hAnsi="Helvetica-Light" w:cstheme="minorHAnsi"/>
        </w:rPr>
        <w:t>.</w:t>
      </w:r>
      <w:r w:rsidR="000D576C">
        <w:rPr>
          <w:rFonts w:ascii="Helvetica-Light" w:hAnsi="Helvetica-Light" w:cstheme="minorHAnsi"/>
        </w:rPr>
        <w:t xml:space="preserve"> </w:t>
      </w:r>
      <w:r w:rsidR="00615F91" w:rsidRPr="006B348D">
        <w:rPr>
          <w:rFonts w:ascii="Helvetica-Light" w:hAnsi="Helvetica-Light" w:cstheme="minorHAnsi"/>
        </w:rPr>
        <w:t>W</w:t>
      </w:r>
      <w:r w:rsidRPr="006B348D">
        <w:rPr>
          <w:rFonts w:ascii="Helvetica-Light" w:hAnsi="Helvetica-Light" w:cstheme="minorHAnsi"/>
        </w:rPr>
        <w:t>hen the socio-economic status of the household improves</w:t>
      </w:r>
      <w:r w:rsidR="00615F91" w:rsidRPr="006B348D">
        <w:rPr>
          <w:rFonts w:ascii="Helvetica-Light" w:hAnsi="Helvetica-Light" w:cstheme="minorHAnsi"/>
        </w:rPr>
        <w:t>,</w:t>
      </w:r>
      <w:r w:rsidRPr="006B348D">
        <w:rPr>
          <w:rFonts w:ascii="Helvetica-Light" w:hAnsi="Helvetica-Light" w:cstheme="minorHAnsi"/>
        </w:rPr>
        <w:t xml:space="preserve"> so that they might live in market-rate housing, beneficiaries are asked to leave the social housing </w:t>
      </w:r>
      <w:r w:rsidR="00510A60">
        <w:rPr>
          <w:rFonts w:ascii="Helvetica-Light" w:hAnsi="Helvetica-Light" w:cstheme="minorHAnsi"/>
        </w:rPr>
        <w:t>(SDC</w:t>
      </w:r>
      <w:r w:rsidR="008B59DE">
        <w:rPr>
          <w:rFonts w:ascii="Helvetica-Light" w:hAnsi="Helvetica-Light" w:cstheme="minorHAnsi"/>
        </w:rPr>
        <w:t>, 2015).</w:t>
      </w:r>
    </w:p>
    <w:p w14:paraId="78D22D2A" w14:textId="77777777" w:rsidR="00F738DD" w:rsidRPr="006B348D" w:rsidRDefault="00F738DD" w:rsidP="00146328">
      <w:pPr>
        <w:spacing w:after="240" w:line="240" w:lineRule="auto"/>
        <w:jc w:val="both"/>
        <w:rPr>
          <w:rFonts w:ascii="Helvetica" w:hAnsi="Helvetica" w:cstheme="minorHAnsi"/>
          <w:b/>
          <w:bCs/>
          <w:i/>
          <w:iCs/>
          <w:sz w:val="24"/>
          <w:lang w:val="en-GB"/>
        </w:rPr>
      </w:pPr>
      <w:r w:rsidRPr="006B348D">
        <w:rPr>
          <w:rFonts w:ascii="Helvetica" w:hAnsi="Helvetica" w:cstheme="minorHAnsi"/>
          <w:b/>
          <w:bCs/>
          <w:i/>
          <w:iCs/>
          <w:sz w:val="24"/>
          <w:lang w:val="en-GB"/>
        </w:rPr>
        <w:t xml:space="preserve">People living in insecure </w:t>
      </w:r>
      <w:r w:rsidR="00075B51" w:rsidRPr="006B348D">
        <w:rPr>
          <w:rFonts w:ascii="Helvetica" w:hAnsi="Helvetica" w:cstheme="minorHAnsi"/>
          <w:b/>
          <w:bCs/>
          <w:i/>
          <w:iCs/>
          <w:sz w:val="24"/>
          <w:lang w:val="en-GB"/>
        </w:rPr>
        <w:t>accommodations</w:t>
      </w:r>
    </w:p>
    <w:p w14:paraId="321B8C56" w14:textId="77777777" w:rsidR="00C148BF" w:rsidRPr="006B348D" w:rsidRDefault="000F42A1" w:rsidP="00146328">
      <w:pPr>
        <w:spacing w:after="240" w:line="240" w:lineRule="auto"/>
        <w:jc w:val="both"/>
        <w:rPr>
          <w:rFonts w:ascii="Helvetica-Light" w:hAnsi="Helvetica-Light" w:cstheme="minorHAnsi"/>
        </w:rPr>
      </w:pPr>
      <w:r w:rsidRPr="006B348D">
        <w:rPr>
          <w:rFonts w:ascii="Helvetica-Light" w:hAnsi="Helvetica-Light" w:cstheme="minorHAnsi"/>
          <w:lang w:val="en-GB"/>
        </w:rPr>
        <w:t xml:space="preserve">A third group of the society which falls under the risk of unstable housing includes the </w:t>
      </w:r>
      <w:r w:rsidRPr="006B348D">
        <w:rPr>
          <w:rFonts w:ascii="Helvetica-Light" w:hAnsi="Helvetica-Light" w:cstheme="minorHAnsi"/>
          <w:b/>
          <w:bCs/>
          <w:lang w:val="en-GB"/>
        </w:rPr>
        <w:t xml:space="preserve">people living </w:t>
      </w:r>
      <w:r w:rsidRPr="006B348D">
        <w:rPr>
          <w:rFonts w:ascii="Helvetica-Light" w:hAnsi="Helvetica-Light" w:cstheme="minorHAnsi"/>
          <w:b/>
          <w:bCs/>
        </w:rPr>
        <w:t>in insecure accommodations</w:t>
      </w:r>
      <w:r w:rsidRPr="006B348D">
        <w:rPr>
          <w:rFonts w:ascii="Helvetica-Light" w:hAnsi="Helvetica-Light" w:cstheme="minorHAnsi"/>
        </w:rPr>
        <w:t>. These ar</w:t>
      </w:r>
      <w:r w:rsidR="00FA4B6D" w:rsidRPr="006B348D">
        <w:rPr>
          <w:rFonts w:ascii="Helvetica-Light" w:hAnsi="Helvetica-Light" w:cstheme="minorHAnsi"/>
        </w:rPr>
        <w:t>e</w:t>
      </w:r>
      <w:r w:rsidRPr="006B348D">
        <w:rPr>
          <w:rFonts w:ascii="Helvetica-Light" w:hAnsi="Helvetica-Light" w:cstheme="minorHAnsi"/>
        </w:rPr>
        <w:t xml:space="preserve"> people who temporary live with</w:t>
      </w:r>
      <w:r w:rsidR="00FA4B6D" w:rsidRPr="006B348D">
        <w:rPr>
          <w:rFonts w:ascii="Helvetica-Light" w:hAnsi="Helvetica-Light" w:cstheme="minorHAnsi"/>
        </w:rPr>
        <w:t xml:space="preserve"> other</w:t>
      </w:r>
      <w:r w:rsidRPr="006B348D">
        <w:rPr>
          <w:rFonts w:ascii="Helvetica-Light" w:hAnsi="Helvetica-Light" w:cstheme="minorHAnsi"/>
        </w:rPr>
        <w:t xml:space="preserve"> families and friends</w:t>
      </w:r>
      <w:r w:rsidR="008224F3" w:rsidRPr="006B348D">
        <w:rPr>
          <w:rFonts w:ascii="Helvetica-Light" w:hAnsi="Helvetica-Light" w:cstheme="minorHAnsi"/>
          <w:lang w:val="ka-GE"/>
        </w:rPr>
        <w:t xml:space="preserve"> (</w:t>
      </w:r>
      <w:r w:rsidR="008224F3" w:rsidRPr="006B348D">
        <w:rPr>
          <w:rFonts w:ascii="Helvetica-Light" w:hAnsi="Helvetica-Light" w:cstheme="minorHAnsi"/>
          <w:i/>
        </w:rPr>
        <w:t>double</w:t>
      </w:r>
      <w:r w:rsidR="006A7572" w:rsidRPr="006B348D">
        <w:rPr>
          <w:rFonts w:ascii="Helvetica-Light" w:hAnsi="Helvetica-Light" w:cstheme="minorHAnsi"/>
          <w:i/>
        </w:rPr>
        <w:t>d</w:t>
      </w:r>
      <w:r w:rsidR="008224F3" w:rsidRPr="006B348D">
        <w:rPr>
          <w:rFonts w:ascii="Helvetica-Light" w:hAnsi="Helvetica-Light" w:cstheme="minorHAnsi"/>
          <w:i/>
        </w:rPr>
        <w:t>-up families</w:t>
      </w:r>
      <w:r w:rsidR="008224F3" w:rsidRPr="006B348D">
        <w:rPr>
          <w:rFonts w:ascii="Helvetica-Light" w:hAnsi="Helvetica-Light" w:cstheme="minorHAnsi"/>
          <w:i/>
          <w:lang w:val="ka-GE"/>
        </w:rPr>
        <w:t>)</w:t>
      </w:r>
      <w:r w:rsidRPr="006B348D">
        <w:rPr>
          <w:rFonts w:ascii="Helvetica-Light" w:hAnsi="Helvetica-Light" w:cstheme="minorHAnsi"/>
        </w:rPr>
        <w:t>, have no legal (sub)tenancy</w:t>
      </w:r>
      <w:r w:rsidR="00C148BF" w:rsidRPr="006B348D">
        <w:rPr>
          <w:rFonts w:ascii="Helvetica-Light" w:hAnsi="Helvetica-Light" w:cstheme="minorHAnsi"/>
        </w:rPr>
        <w:t xml:space="preserve">, </w:t>
      </w:r>
      <w:r w:rsidR="000D72C6" w:rsidRPr="006B348D">
        <w:rPr>
          <w:rFonts w:ascii="Helvetica-Light" w:hAnsi="Helvetica-Light" w:cstheme="minorHAnsi"/>
        </w:rPr>
        <w:t xml:space="preserve">and/or </w:t>
      </w:r>
      <w:r w:rsidR="00C148BF" w:rsidRPr="006B348D">
        <w:rPr>
          <w:rFonts w:ascii="Helvetica-Light" w:hAnsi="Helvetica-Light" w:cstheme="minorHAnsi"/>
        </w:rPr>
        <w:t>live in the threat of eviction and violence</w:t>
      </w:r>
      <w:r w:rsidRPr="006B348D">
        <w:rPr>
          <w:rFonts w:ascii="Helvetica-Light" w:hAnsi="Helvetica-Light" w:cstheme="minorHAnsi"/>
        </w:rPr>
        <w:t>.</w:t>
      </w:r>
    </w:p>
    <w:p w14:paraId="65E37E41" w14:textId="77777777" w:rsidR="0088601C" w:rsidRPr="006B348D" w:rsidRDefault="008224F3" w:rsidP="00146328">
      <w:pPr>
        <w:spacing w:after="240" w:line="240" w:lineRule="auto"/>
        <w:jc w:val="both"/>
        <w:rPr>
          <w:rFonts w:ascii="Helvetica-Light" w:hAnsi="Helvetica-Light" w:cstheme="minorHAnsi"/>
        </w:rPr>
      </w:pPr>
      <w:r w:rsidRPr="006B348D">
        <w:rPr>
          <w:rFonts w:ascii="Helvetica-Light" w:hAnsi="Helvetica-Light" w:cstheme="minorHAnsi"/>
          <w:i/>
        </w:rPr>
        <w:t>Doubling-</w:t>
      </w:r>
      <w:r w:rsidR="006A7572" w:rsidRPr="006B348D">
        <w:rPr>
          <w:rFonts w:ascii="Helvetica-Light" w:hAnsi="Helvetica-Light" w:cstheme="minorHAnsi"/>
          <w:i/>
        </w:rPr>
        <w:t>up is</w:t>
      </w:r>
      <w:r w:rsidR="00073FAF" w:rsidRPr="006B348D">
        <w:rPr>
          <w:rFonts w:ascii="Helvetica-Light" w:hAnsi="Helvetica-Light" w:cstheme="minorHAnsi"/>
        </w:rPr>
        <w:t xml:space="preserve"> quite a common phenomenon in Georgia</w:t>
      </w:r>
      <w:r w:rsidR="00FA4B6D" w:rsidRPr="006B348D">
        <w:rPr>
          <w:rFonts w:ascii="Helvetica-Light" w:hAnsi="Helvetica-Light" w:cstheme="minorHAnsi"/>
        </w:rPr>
        <w:t>. F</w:t>
      </w:r>
      <w:r w:rsidR="00073FAF" w:rsidRPr="006B348D">
        <w:rPr>
          <w:rFonts w:ascii="Helvetica-Light" w:hAnsi="Helvetica-Light" w:cstheme="minorHAnsi"/>
        </w:rPr>
        <w:t xml:space="preserve">or the purpose of this study </w:t>
      </w:r>
      <w:r w:rsidR="00431BED" w:rsidRPr="006B348D">
        <w:rPr>
          <w:rFonts w:ascii="Helvetica-Light" w:hAnsi="Helvetica-Light" w:cstheme="minorHAnsi"/>
        </w:rPr>
        <w:t xml:space="preserve">we defined </w:t>
      </w:r>
      <w:r w:rsidR="00431BED" w:rsidRPr="006B348D">
        <w:rPr>
          <w:rFonts w:ascii="Helvetica-Light" w:hAnsi="Helvetica-Light" w:cstheme="minorHAnsi"/>
          <w:b/>
          <w:bCs/>
          <w:i/>
          <w:iCs/>
        </w:rPr>
        <w:t>doubled-up families</w:t>
      </w:r>
      <w:r w:rsidR="00431BED" w:rsidRPr="006B348D">
        <w:rPr>
          <w:rFonts w:ascii="Helvetica-Light" w:hAnsi="Helvetica-Light" w:cstheme="minorHAnsi"/>
        </w:rPr>
        <w:t xml:space="preserve"> referring to </w:t>
      </w:r>
      <w:r w:rsidR="00073FAF" w:rsidRPr="006B348D">
        <w:rPr>
          <w:rFonts w:ascii="Helvetica-Light" w:hAnsi="Helvetica-Light" w:cstheme="minorHAnsi"/>
        </w:rPr>
        <w:t>the rules set by the inheritance law. This subcategory includes the households where people with a “distant” relation status live together</w:t>
      </w:r>
      <w:r w:rsidR="00265E04" w:rsidRPr="006B348D">
        <w:rPr>
          <w:rStyle w:val="Rimandonotaapidipagina"/>
          <w:rFonts w:ascii="Helvetica-Light" w:hAnsi="Helvetica-Light" w:cstheme="minorHAnsi"/>
        </w:rPr>
        <w:footnoteReference w:id="11"/>
      </w:r>
      <w:r w:rsidR="00073FAF" w:rsidRPr="006B348D">
        <w:rPr>
          <w:rFonts w:ascii="Helvetica-Light" w:hAnsi="Helvetica-Light" w:cstheme="minorHAnsi"/>
        </w:rPr>
        <w:t>.</w:t>
      </w:r>
      <w:r w:rsidR="00C148BF" w:rsidRPr="006B348D">
        <w:rPr>
          <w:rFonts w:ascii="Helvetica-Light" w:hAnsi="Helvetica-Light" w:cstheme="minorHAnsi"/>
        </w:rPr>
        <w:t xml:space="preserve"> Based on </w:t>
      </w:r>
      <w:r w:rsidR="00FA4B6D" w:rsidRPr="006B348D">
        <w:rPr>
          <w:rFonts w:ascii="Helvetica-Light" w:hAnsi="Helvetica-Light" w:cstheme="minorHAnsi"/>
        </w:rPr>
        <w:t>12</w:t>
      </w:r>
      <w:r w:rsidR="00C148BF" w:rsidRPr="006B348D">
        <w:rPr>
          <w:rFonts w:ascii="Helvetica-Light" w:hAnsi="Helvetica-Light" w:cstheme="minorHAnsi"/>
        </w:rPr>
        <w:t>-year data from the Household Survey Database the indicator showed an upward trend both in urban and rural areas.</w:t>
      </w:r>
      <w:r w:rsidR="000D576C">
        <w:rPr>
          <w:rFonts w:ascii="Helvetica-Light" w:hAnsi="Helvetica-Light" w:cstheme="minorHAnsi"/>
        </w:rPr>
        <w:t xml:space="preserve"> </w:t>
      </w:r>
      <w:r w:rsidR="00D60A48" w:rsidRPr="006B348D">
        <w:rPr>
          <w:rFonts w:ascii="Helvetica-Light" w:hAnsi="Helvetica-Light" w:cstheme="minorHAnsi"/>
        </w:rPr>
        <w:t xml:space="preserve">However, the phenomena </w:t>
      </w:r>
      <w:proofErr w:type="gramStart"/>
      <w:r w:rsidR="00D60A48" w:rsidRPr="006B348D">
        <w:rPr>
          <w:rFonts w:ascii="Helvetica-Light" w:hAnsi="Helvetica-Light" w:cstheme="minorHAnsi"/>
        </w:rPr>
        <w:t>is</w:t>
      </w:r>
      <w:proofErr w:type="gramEnd"/>
      <w:r w:rsidR="00D60A48" w:rsidRPr="006B348D">
        <w:rPr>
          <w:rFonts w:ascii="Helvetica-Light" w:hAnsi="Helvetica-Light" w:cstheme="minorHAnsi"/>
        </w:rPr>
        <w:t xml:space="preserve"> more common with higher income families</w:t>
      </w:r>
      <w:r w:rsidR="00D60A48" w:rsidRPr="006B348D">
        <w:rPr>
          <w:rFonts w:ascii="Helvetica-Light" w:hAnsi="Helvetica-Light" w:cstheme="minorHAnsi"/>
          <w:lang w:val="ka-GE"/>
        </w:rPr>
        <w:t xml:space="preserve">. </w:t>
      </w:r>
      <w:r w:rsidR="00D60A48" w:rsidRPr="006B348D">
        <w:rPr>
          <w:rFonts w:ascii="Helvetica-Light" w:hAnsi="Helvetica-Light" w:cstheme="minorHAnsi"/>
        </w:rPr>
        <w:t xml:space="preserve">This might be an indication of a saving strategy aiming at </w:t>
      </w:r>
      <w:r w:rsidR="00D60A48" w:rsidRPr="006B348D">
        <w:rPr>
          <w:rFonts w:ascii="Helvetica-Light" w:hAnsi="Helvetica-Light" w:cstheme="minorHAnsi"/>
        </w:rPr>
        <w:lastRenderedPageBreak/>
        <w:t>increasing affordability of housing and/or at increasing household incomes (e.g. by renting out the additional space</w:t>
      </w:r>
      <w:r w:rsidR="00F90A47" w:rsidRPr="006B348D">
        <w:rPr>
          <w:rFonts w:ascii="Helvetica-Light" w:hAnsi="Helvetica-Light" w:cstheme="minorHAnsi"/>
          <w:lang w:val="ka-GE"/>
        </w:rPr>
        <w:t>)</w:t>
      </w:r>
      <w:r w:rsidR="00D60A48" w:rsidRPr="006B348D">
        <w:rPr>
          <w:rFonts w:ascii="Helvetica-Light" w:hAnsi="Helvetica-Light" w:cstheme="minorHAnsi"/>
          <w:lang w:val="ka-GE"/>
        </w:rPr>
        <w:t>.</w:t>
      </w:r>
    </w:p>
    <w:p w14:paraId="636F7A99" w14:textId="7F1610C6" w:rsidR="000A4750" w:rsidRPr="006B348D" w:rsidRDefault="004F2219" w:rsidP="00146328">
      <w:pPr>
        <w:spacing w:after="240" w:line="240" w:lineRule="auto"/>
        <w:jc w:val="both"/>
        <w:rPr>
          <w:rFonts w:ascii="Helvetica-Light" w:hAnsi="Helvetica-Light" w:cstheme="minorHAnsi"/>
        </w:rPr>
      </w:pPr>
      <w:r w:rsidRPr="006B348D">
        <w:rPr>
          <w:rFonts w:ascii="Helvetica-Light" w:hAnsi="Helvetica-Light" w:cstheme="minorHAnsi"/>
        </w:rPr>
        <w:t>T</w:t>
      </w:r>
      <w:r w:rsidR="00C148BF" w:rsidRPr="006B348D">
        <w:rPr>
          <w:rFonts w:ascii="Helvetica-Light" w:hAnsi="Helvetica-Light" w:cstheme="minorHAnsi"/>
        </w:rPr>
        <w:t xml:space="preserve">he National Agency of State Property has provided </w:t>
      </w:r>
      <w:r w:rsidRPr="006B348D">
        <w:rPr>
          <w:rFonts w:ascii="Helvetica-Light" w:hAnsi="Helvetica-Light" w:cstheme="minorHAnsi"/>
        </w:rPr>
        <w:t xml:space="preserve">us </w:t>
      </w:r>
      <w:r w:rsidR="00C148BF" w:rsidRPr="006B348D">
        <w:rPr>
          <w:rFonts w:ascii="Helvetica-Light" w:hAnsi="Helvetica-Light" w:cstheme="minorHAnsi"/>
        </w:rPr>
        <w:t>the latest data</w:t>
      </w:r>
      <w:r w:rsidR="008B59DE">
        <w:rPr>
          <w:rFonts w:ascii="Helvetica-Light" w:hAnsi="Helvetica-Light" w:cstheme="minorHAnsi"/>
        </w:rPr>
        <w:t xml:space="preserve"> </w:t>
      </w:r>
      <w:r w:rsidR="00C148BF" w:rsidRPr="006B348D">
        <w:rPr>
          <w:rFonts w:ascii="Helvetica-Light" w:hAnsi="Helvetica-Light" w:cstheme="minorHAnsi"/>
        </w:rPr>
        <w:t xml:space="preserve">(June 2019) about the </w:t>
      </w:r>
      <w:r w:rsidR="00C148BF" w:rsidRPr="006B348D">
        <w:rPr>
          <w:rFonts w:ascii="Helvetica-Light" w:hAnsi="Helvetica-Light" w:cstheme="minorHAnsi"/>
          <w:i/>
        </w:rPr>
        <w:t>identified illegal tenants</w:t>
      </w:r>
      <w:r w:rsidR="00C148BF" w:rsidRPr="006B348D">
        <w:rPr>
          <w:rFonts w:ascii="Helvetica-Light" w:hAnsi="Helvetica-Light" w:cstheme="minorHAnsi"/>
        </w:rPr>
        <w:t>, amounting to 95 households (for a total 169 individuals)</w:t>
      </w:r>
      <w:r w:rsidR="008A52F1" w:rsidRPr="006B348D">
        <w:rPr>
          <w:rFonts w:ascii="Helvetica-Light" w:hAnsi="Helvetica-Light" w:cstheme="minorHAnsi"/>
          <w:lang w:val="ka-GE"/>
        </w:rPr>
        <w:t>.</w:t>
      </w:r>
      <w:r w:rsidR="00C148BF" w:rsidRPr="006B348D">
        <w:rPr>
          <w:rFonts w:ascii="Helvetica-Light" w:hAnsi="Helvetica-Light" w:cstheme="minorHAnsi"/>
        </w:rPr>
        <w:t xml:space="preserve"> They represent up to 0.009% of the total number of households</w:t>
      </w:r>
      <w:r w:rsidR="00C148BF" w:rsidRPr="006B348D">
        <w:rPr>
          <w:rStyle w:val="Rimandonotaapidipagina"/>
          <w:rFonts w:ascii="Helvetica-Light" w:hAnsi="Helvetica-Light" w:cstheme="minorHAnsi"/>
        </w:rPr>
        <w:footnoteReference w:id="12"/>
      </w:r>
      <w:r w:rsidR="00C148BF" w:rsidRPr="006B348D">
        <w:rPr>
          <w:rFonts w:ascii="Helvetica-Light" w:hAnsi="Helvetica-Light" w:cstheme="minorHAnsi"/>
        </w:rPr>
        <w:t xml:space="preserve"> in Georgia (up to 0.0045% of total population)</w:t>
      </w:r>
      <w:r w:rsidR="00A70049">
        <w:rPr>
          <w:rFonts w:ascii="Helvetica-Light" w:hAnsi="Helvetica-Light" w:cstheme="minorHAnsi"/>
        </w:rPr>
        <w:t>.</w:t>
      </w:r>
      <w:r w:rsidR="008A52F1" w:rsidRPr="006B348D">
        <w:rPr>
          <w:rStyle w:val="Rimandonotaapidipagina"/>
          <w:rFonts w:ascii="Helvetica-Light" w:hAnsi="Helvetica-Light" w:cstheme="minorHAnsi"/>
        </w:rPr>
        <w:footnoteReference w:id="13"/>
      </w:r>
    </w:p>
    <w:p w14:paraId="46BF2A81" w14:textId="77777777" w:rsidR="006B348D" w:rsidRDefault="008A52F1" w:rsidP="00146328">
      <w:pPr>
        <w:pStyle w:val="Paragrafoelenco"/>
        <w:spacing w:after="240" w:line="240" w:lineRule="auto"/>
        <w:ind w:left="0"/>
        <w:jc w:val="both"/>
        <w:rPr>
          <w:rFonts w:ascii="Helvetica-Light" w:hAnsi="Helvetica-Light" w:cstheme="minorHAnsi"/>
        </w:rPr>
      </w:pPr>
      <w:r w:rsidRPr="006B348D">
        <w:rPr>
          <w:rFonts w:ascii="Helvetica-Light" w:hAnsi="Helvetica-Light" w:cstheme="minorHAnsi"/>
        </w:rPr>
        <w:t>Another important subcategory of the people liv</w:t>
      </w:r>
      <w:r w:rsidR="00074D64" w:rsidRPr="006B348D">
        <w:rPr>
          <w:rFonts w:ascii="Helvetica-Light" w:hAnsi="Helvetica-Light" w:cstheme="minorHAnsi"/>
        </w:rPr>
        <w:t>ing</w:t>
      </w:r>
      <w:r w:rsidRPr="006B348D">
        <w:rPr>
          <w:rFonts w:ascii="Helvetica-Light" w:hAnsi="Helvetica-Light" w:cstheme="minorHAnsi"/>
        </w:rPr>
        <w:t xml:space="preserve"> in insecure accommodations are the </w:t>
      </w:r>
      <w:r w:rsidRPr="006B348D">
        <w:rPr>
          <w:rFonts w:ascii="Helvetica-Light" w:hAnsi="Helvetica-Light" w:cstheme="minorHAnsi"/>
          <w:b/>
          <w:bCs/>
          <w:i/>
          <w:iCs/>
        </w:rPr>
        <w:t>people who are under the threat of domestic violence</w:t>
      </w:r>
      <w:r w:rsidRPr="006B348D">
        <w:rPr>
          <w:rFonts w:ascii="Helvetica-Light" w:hAnsi="Helvetica-Light" w:cstheme="minorHAnsi"/>
        </w:rPr>
        <w:t xml:space="preserve">, which might be also exposed to the risk of housing exclusion. </w:t>
      </w:r>
      <w:r w:rsidR="006A7572" w:rsidRPr="006B348D">
        <w:rPr>
          <w:rFonts w:ascii="Helvetica-Light" w:hAnsi="Helvetica-Light" w:cstheme="minorHAnsi"/>
        </w:rPr>
        <w:t>T</w:t>
      </w:r>
      <w:r w:rsidRPr="006B348D">
        <w:rPr>
          <w:rFonts w:ascii="Helvetica-Light" w:hAnsi="Helvetica-Light" w:cstheme="minorHAnsi"/>
        </w:rPr>
        <w:t>he data</w:t>
      </w:r>
      <w:r w:rsidR="006A7572" w:rsidRPr="006B348D">
        <w:rPr>
          <w:rFonts w:ascii="Helvetica-Light" w:hAnsi="Helvetica-Light" w:cstheme="minorHAnsi"/>
        </w:rPr>
        <w:t xml:space="preserve"> provided by ATIP fund shows</w:t>
      </w:r>
      <w:r w:rsidRPr="006B348D">
        <w:rPr>
          <w:rFonts w:ascii="Helvetica-Light" w:hAnsi="Helvetica-Light" w:cstheme="minorHAnsi"/>
        </w:rPr>
        <w:t xml:space="preserve"> that the problem is apparently becoming </w:t>
      </w:r>
      <w:r w:rsidR="004B2EBE" w:rsidRPr="006B348D">
        <w:rPr>
          <w:rFonts w:ascii="Helvetica-Light" w:hAnsi="Helvetica-Light" w:cstheme="minorHAnsi"/>
        </w:rPr>
        <w:t xml:space="preserve">increasingly </w:t>
      </w:r>
      <w:r w:rsidRPr="006B348D">
        <w:rPr>
          <w:rFonts w:ascii="Helvetica-Light" w:hAnsi="Helvetica-Light" w:cstheme="minorHAnsi"/>
        </w:rPr>
        <w:t>severe (in 2010 there were 42 beneficiaries in 2</w:t>
      </w:r>
      <w:r w:rsidR="00501EE8">
        <w:rPr>
          <w:rFonts w:ascii="Helvetica-Light" w:hAnsi="Helvetica-Light" w:cstheme="minorHAnsi"/>
        </w:rPr>
        <w:t>4</w:t>
      </w:r>
      <w:r w:rsidRPr="006B348D">
        <w:rPr>
          <w:rFonts w:ascii="Helvetica-Light" w:hAnsi="Helvetica-Light" w:cstheme="minorHAnsi"/>
        </w:rPr>
        <w:t xml:space="preserve">-hour shelters for </w:t>
      </w:r>
      <w:r w:rsidR="008224F3" w:rsidRPr="006B348D">
        <w:rPr>
          <w:rFonts w:ascii="Helvetica-Light" w:hAnsi="Helvetica-Light" w:cstheme="minorHAnsi"/>
        </w:rPr>
        <w:t>the victims</w:t>
      </w:r>
      <w:r w:rsidRPr="006B348D">
        <w:rPr>
          <w:rFonts w:ascii="Helvetica-Light" w:hAnsi="Helvetica-Light" w:cstheme="minorHAnsi"/>
        </w:rPr>
        <w:t>, while in 2018 the number reached 212</w:t>
      </w:r>
      <w:r w:rsidR="0088601C" w:rsidRPr="006B348D">
        <w:rPr>
          <w:rStyle w:val="Rimandonotaapidipagina"/>
          <w:rFonts w:ascii="Helvetica-Light" w:hAnsi="Helvetica-Light" w:cstheme="minorHAnsi"/>
        </w:rPr>
        <w:footnoteReference w:id="14"/>
      </w:r>
      <w:r w:rsidR="008224F3" w:rsidRPr="006B348D">
        <w:rPr>
          <w:rFonts w:ascii="Helvetica-Light" w:hAnsi="Helvetica-Light" w:cstheme="minorHAnsi"/>
        </w:rPr>
        <w:t>), and</w:t>
      </w:r>
      <w:r w:rsidRPr="006B348D">
        <w:rPr>
          <w:rFonts w:ascii="Helvetica-Light" w:hAnsi="Helvetica-Light" w:cstheme="minorHAnsi"/>
        </w:rPr>
        <w:t xml:space="preserve"> needs to be addressed in all vulnerable categories, adults, children and dependent people</w:t>
      </w:r>
      <w:r w:rsidR="00FA4B6D" w:rsidRPr="006B348D">
        <w:rPr>
          <w:rStyle w:val="Rimandonotaapidipagina"/>
          <w:rFonts w:ascii="Helvetica-Light" w:hAnsi="Helvetica-Light" w:cstheme="minorHAnsi"/>
        </w:rPr>
        <w:footnoteReference w:id="15"/>
      </w:r>
      <w:r w:rsidRPr="006B348D">
        <w:rPr>
          <w:rFonts w:ascii="Helvetica-Light" w:hAnsi="Helvetica-Light" w:cstheme="minorHAnsi"/>
        </w:rPr>
        <w:t xml:space="preserve">. </w:t>
      </w:r>
      <w:r w:rsidR="00BF1304" w:rsidRPr="006B348D">
        <w:rPr>
          <w:rFonts w:ascii="Helvetica-Light" w:hAnsi="Helvetica-Light" w:cstheme="minorHAnsi"/>
        </w:rPr>
        <w:t>Noteworthy, these temporary shelters cannot eliminate the problem of potential homelessness in case of repeated incidences of violence in the families.</w:t>
      </w:r>
    </w:p>
    <w:p w14:paraId="30525401" w14:textId="77777777" w:rsidR="00F738DD" w:rsidRPr="006B348D" w:rsidRDefault="00F738DD" w:rsidP="00146328">
      <w:pPr>
        <w:spacing w:before="120" w:after="240" w:line="240" w:lineRule="auto"/>
        <w:jc w:val="both"/>
        <w:rPr>
          <w:rFonts w:ascii="Helvetica" w:hAnsi="Helvetica" w:cstheme="minorHAnsi"/>
          <w:b/>
          <w:bCs/>
          <w:i/>
          <w:iCs/>
          <w:sz w:val="24"/>
          <w:lang w:val="en-GB"/>
        </w:rPr>
      </w:pPr>
      <w:r w:rsidRPr="006B348D">
        <w:rPr>
          <w:rFonts w:ascii="Helvetica" w:hAnsi="Helvetica" w:cstheme="minorHAnsi"/>
          <w:b/>
          <w:bCs/>
          <w:i/>
          <w:iCs/>
          <w:sz w:val="24"/>
          <w:lang w:val="en-GB"/>
        </w:rPr>
        <w:t>People living in inadequate housing conditions</w:t>
      </w:r>
    </w:p>
    <w:p w14:paraId="616D64BB" w14:textId="77777777" w:rsidR="0088601C" w:rsidRPr="006B348D" w:rsidRDefault="000F42A1" w:rsidP="00146328">
      <w:pPr>
        <w:spacing w:after="240" w:line="240" w:lineRule="auto"/>
        <w:jc w:val="both"/>
        <w:rPr>
          <w:rFonts w:ascii="Helvetica-Light" w:hAnsi="Helvetica-Light" w:cstheme="minorHAnsi"/>
        </w:rPr>
      </w:pPr>
      <w:r w:rsidRPr="006B348D">
        <w:rPr>
          <w:rFonts w:ascii="Helvetica-Light" w:hAnsi="Helvetica-Light" w:cstheme="minorHAnsi"/>
        </w:rPr>
        <w:t xml:space="preserve">The last group </w:t>
      </w:r>
      <w:r w:rsidR="0022565F" w:rsidRPr="006B348D">
        <w:rPr>
          <w:rFonts w:ascii="Helvetica-Light" w:hAnsi="Helvetica-Light" w:cstheme="minorHAnsi"/>
        </w:rPr>
        <w:t>is</w:t>
      </w:r>
      <w:r w:rsidR="000D576C">
        <w:rPr>
          <w:rFonts w:ascii="Helvetica-Light" w:hAnsi="Helvetica-Light" w:cstheme="minorHAnsi"/>
        </w:rPr>
        <w:t xml:space="preserve"> </w:t>
      </w:r>
      <w:r w:rsidRPr="006B348D">
        <w:rPr>
          <w:rFonts w:ascii="Helvetica-Light" w:hAnsi="Helvetica-Light" w:cstheme="minorHAnsi"/>
          <w:b/>
          <w:bCs/>
        </w:rPr>
        <w:t>people living in inadequate housing conditions</w:t>
      </w:r>
      <w:r w:rsidRPr="006B348D">
        <w:rPr>
          <w:rFonts w:ascii="Helvetica-Light" w:hAnsi="Helvetica-Light" w:cstheme="minorHAnsi"/>
        </w:rPr>
        <w:t xml:space="preserve">. These individuals are those living in temporary/non-conventional structures, including people living in mobile homes, people </w:t>
      </w:r>
      <w:r w:rsidR="0088601C" w:rsidRPr="006B348D">
        <w:rPr>
          <w:rFonts w:ascii="Helvetica-Light" w:hAnsi="Helvetica-Light" w:cstheme="minorHAnsi"/>
        </w:rPr>
        <w:t xml:space="preserve">living </w:t>
      </w:r>
      <w:r w:rsidRPr="006B348D">
        <w:rPr>
          <w:rFonts w:ascii="Helvetica-Light" w:hAnsi="Helvetica-Light" w:cstheme="minorHAnsi"/>
        </w:rPr>
        <w:t xml:space="preserve">in unfit </w:t>
      </w:r>
      <w:r w:rsidR="0088601C" w:rsidRPr="006B348D">
        <w:rPr>
          <w:rFonts w:ascii="Helvetica-Light" w:hAnsi="Helvetica-Light" w:cstheme="minorHAnsi"/>
        </w:rPr>
        <w:t xml:space="preserve">houses </w:t>
      </w:r>
      <w:r w:rsidRPr="006B348D">
        <w:rPr>
          <w:rFonts w:ascii="Helvetica-Light" w:hAnsi="Helvetica-Light" w:cstheme="minorHAnsi"/>
        </w:rPr>
        <w:t xml:space="preserve">and </w:t>
      </w:r>
      <w:r w:rsidR="0088601C" w:rsidRPr="006B348D">
        <w:rPr>
          <w:rFonts w:ascii="Helvetica-Light" w:hAnsi="Helvetica-Light" w:cstheme="minorHAnsi"/>
        </w:rPr>
        <w:t xml:space="preserve">in </w:t>
      </w:r>
      <w:r w:rsidRPr="006B348D">
        <w:rPr>
          <w:rFonts w:ascii="Helvetica-Light" w:hAnsi="Helvetica-Light" w:cstheme="minorHAnsi"/>
        </w:rPr>
        <w:t>extreme overcrowding.</w:t>
      </w:r>
    </w:p>
    <w:p w14:paraId="3CBE46E1" w14:textId="2719D2C7" w:rsidR="000A4750" w:rsidRPr="006B348D" w:rsidRDefault="000F42A1" w:rsidP="00146328">
      <w:pPr>
        <w:spacing w:after="240" w:line="240" w:lineRule="auto"/>
        <w:jc w:val="both"/>
        <w:rPr>
          <w:rFonts w:ascii="Helvetica-Light" w:hAnsi="Helvetica-Light" w:cstheme="minorHAnsi"/>
          <w:color w:val="000000" w:themeColor="text1"/>
        </w:rPr>
      </w:pPr>
      <w:r w:rsidRPr="006B348D">
        <w:rPr>
          <w:rFonts w:ascii="Helvetica-Light" w:hAnsi="Helvetica-Light" w:cstheme="minorHAnsi"/>
        </w:rPr>
        <w:t xml:space="preserve">As in Georgia there is no official definition, nor any objective methodology to measure unfit housing, in this analysis </w:t>
      </w:r>
      <w:r w:rsidR="0088601C" w:rsidRPr="006B348D">
        <w:rPr>
          <w:rFonts w:ascii="Helvetica-Light" w:hAnsi="Helvetica-Light" w:cstheme="minorHAnsi"/>
        </w:rPr>
        <w:t xml:space="preserve">were used </w:t>
      </w:r>
      <w:r w:rsidRPr="006B348D">
        <w:rPr>
          <w:rFonts w:ascii="Helvetica-Light" w:hAnsi="Helvetica-Light" w:cstheme="minorHAnsi"/>
        </w:rPr>
        <w:t xml:space="preserve">the definitions </w:t>
      </w:r>
      <w:r w:rsidR="0088601C" w:rsidRPr="006B348D">
        <w:rPr>
          <w:rFonts w:ascii="Helvetica-Light" w:hAnsi="Helvetica-Light" w:cstheme="minorHAnsi"/>
        </w:rPr>
        <w:t>associated with</w:t>
      </w:r>
      <w:r w:rsidR="000D576C">
        <w:rPr>
          <w:rFonts w:ascii="Helvetica-Light" w:hAnsi="Helvetica-Light" w:cstheme="minorHAnsi"/>
        </w:rPr>
        <w:t xml:space="preserve"> </w:t>
      </w:r>
      <w:r w:rsidR="004B2EBE" w:rsidRPr="006B348D">
        <w:rPr>
          <w:rFonts w:ascii="Helvetica-Light" w:hAnsi="Helvetica-Light" w:cstheme="minorHAnsi"/>
        </w:rPr>
        <w:t>S</w:t>
      </w:r>
      <w:r w:rsidRPr="006B348D">
        <w:rPr>
          <w:rFonts w:ascii="Helvetica-Light" w:hAnsi="Helvetica-Light" w:cstheme="minorHAnsi"/>
        </w:rPr>
        <w:t xml:space="preserve">ustainable </w:t>
      </w:r>
      <w:r w:rsidR="004B2EBE" w:rsidRPr="006B348D">
        <w:rPr>
          <w:rFonts w:ascii="Helvetica-Light" w:hAnsi="Helvetica-Light" w:cstheme="minorHAnsi"/>
        </w:rPr>
        <w:t>D</w:t>
      </w:r>
      <w:r w:rsidRPr="006B348D">
        <w:rPr>
          <w:rFonts w:ascii="Helvetica-Light" w:hAnsi="Helvetica-Light" w:cstheme="minorHAnsi"/>
        </w:rPr>
        <w:t xml:space="preserve">evelopment </w:t>
      </w:r>
      <w:r w:rsidR="009868FA" w:rsidRPr="006B348D">
        <w:rPr>
          <w:rFonts w:ascii="Helvetica-Light" w:hAnsi="Helvetica-Light" w:cstheme="minorHAnsi"/>
        </w:rPr>
        <w:t xml:space="preserve">Goals </w:t>
      </w:r>
      <w:r w:rsidR="004B2EBE" w:rsidRPr="006B348D">
        <w:rPr>
          <w:rFonts w:ascii="Helvetica-Light" w:hAnsi="Helvetica-Light" w:cstheme="minorHAnsi"/>
        </w:rPr>
        <w:t>(SD</w:t>
      </w:r>
      <w:r w:rsidR="009868FA" w:rsidRPr="006B348D">
        <w:rPr>
          <w:rFonts w:ascii="Helvetica-Light" w:hAnsi="Helvetica-Light" w:cstheme="minorHAnsi"/>
        </w:rPr>
        <w:t>G</w:t>
      </w:r>
      <w:r w:rsidR="004B2EBE" w:rsidRPr="006B348D">
        <w:rPr>
          <w:rFonts w:ascii="Helvetica-Light" w:hAnsi="Helvetica-Light" w:cstheme="minorHAnsi"/>
        </w:rPr>
        <w:t xml:space="preserve">) </w:t>
      </w:r>
      <w:r w:rsidRPr="006B348D">
        <w:rPr>
          <w:rFonts w:ascii="Helvetica-Light" w:hAnsi="Helvetica-Light" w:cstheme="minorHAnsi"/>
        </w:rPr>
        <w:t xml:space="preserve">targets (in particular, </w:t>
      </w:r>
      <w:r w:rsidR="009868FA" w:rsidRPr="006B348D">
        <w:rPr>
          <w:rFonts w:ascii="Helvetica-Light" w:hAnsi="Helvetica-Light" w:cstheme="minorHAnsi"/>
        </w:rPr>
        <w:t xml:space="preserve">SDG </w:t>
      </w:r>
      <w:r w:rsidRPr="006B348D">
        <w:rPr>
          <w:rFonts w:ascii="Helvetica-Light" w:hAnsi="Helvetica-Light" w:cstheme="minorHAnsi"/>
        </w:rPr>
        <w:t>target 11.1</w:t>
      </w:r>
      <w:r w:rsidR="00FA21D0" w:rsidRPr="006B348D">
        <w:rPr>
          <w:rStyle w:val="Rimandonotaapidipagina"/>
          <w:rFonts w:ascii="Helvetica-Light" w:hAnsi="Helvetica-Light" w:cstheme="minorHAnsi"/>
        </w:rPr>
        <w:footnoteReference w:id="16"/>
      </w:r>
      <w:r w:rsidRPr="006B348D">
        <w:rPr>
          <w:rFonts w:ascii="Helvetica-Light" w:hAnsi="Helvetica-Light" w:cstheme="minorHAnsi"/>
        </w:rPr>
        <w:t>) along with subjective assessments of the households</w:t>
      </w:r>
      <w:r w:rsidR="00265E04" w:rsidRPr="006B348D">
        <w:rPr>
          <w:rStyle w:val="Rimandonotaapidipagina"/>
          <w:rFonts w:ascii="Helvetica-Light" w:hAnsi="Helvetica-Light" w:cstheme="minorHAnsi"/>
        </w:rPr>
        <w:footnoteReference w:id="17"/>
      </w:r>
      <w:r w:rsidRPr="006B348D">
        <w:rPr>
          <w:rFonts w:ascii="Helvetica-Light" w:hAnsi="Helvetica-Light" w:cstheme="minorHAnsi"/>
        </w:rPr>
        <w:t>.</w:t>
      </w:r>
      <w:r w:rsidR="00BC7BE3">
        <w:rPr>
          <w:rFonts w:ascii="Helvetica-Light" w:hAnsi="Helvetica-Light" w:cstheme="minorHAnsi"/>
        </w:rPr>
        <w:t xml:space="preserve"> </w:t>
      </w:r>
      <w:r w:rsidR="000A4750" w:rsidRPr="006B348D">
        <w:rPr>
          <w:rFonts w:ascii="Helvetica-Light" w:hAnsi="Helvetica-Light" w:cstheme="minorHAnsi"/>
        </w:rPr>
        <w:t>Having analyzed the trend</w:t>
      </w:r>
      <w:r w:rsidR="0088601C" w:rsidRPr="006B348D">
        <w:rPr>
          <w:rFonts w:ascii="Helvetica-Light" w:hAnsi="Helvetica-Light" w:cstheme="minorHAnsi"/>
        </w:rPr>
        <w:t>s</w:t>
      </w:r>
      <w:r w:rsidR="00A70049">
        <w:rPr>
          <w:rFonts w:ascii="Helvetica-Light" w:hAnsi="Helvetica-Light" w:cstheme="minorHAnsi"/>
        </w:rPr>
        <w:t xml:space="preserve"> </w:t>
      </w:r>
      <w:r w:rsidR="00D33388" w:rsidRPr="006B348D">
        <w:rPr>
          <w:rFonts w:ascii="Helvetica-Light" w:hAnsi="Helvetica-Light" w:cstheme="minorHAnsi"/>
        </w:rPr>
        <w:t xml:space="preserve">in Georgia </w:t>
      </w:r>
      <w:r w:rsidR="000A4750" w:rsidRPr="006B348D">
        <w:rPr>
          <w:rFonts w:ascii="Helvetica-Light" w:hAnsi="Helvetica-Light" w:cstheme="minorHAnsi"/>
        </w:rPr>
        <w:t xml:space="preserve">according to both the SDG and the self-assessed unfit housing indicators, the problem of unfit housing </w:t>
      </w:r>
      <w:r w:rsidR="0088601C" w:rsidRPr="006B348D">
        <w:rPr>
          <w:rFonts w:ascii="Helvetica-Light" w:hAnsi="Helvetica-Light" w:cstheme="minorHAnsi"/>
        </w:rPr>
        <w:t xml:space="preserve">seems to be </w:t>
      </w:r>
      <w:r w:rsidR="000A4750" w:rsidRPr="006B348D">
        <w:rPr>
          <w:rFonts w:ascii="Helvetica-Light" w:hAnsi="Helvetica-Light" w:cstheme="minorHAnsi"/>
        </w:rPr>
        <w:t xml:space="preserve">becoming </w:t>
      </w:r>
      <w:r w:rsidR="0088601C" w:rsidRPr="006B348D">
        <w:rPr>
          <w:rFonts w:ascii="Helvetica-Light" w:hAnsi="Helvetica-Light" w:cstheme="minorHAnsi"/>
        </w:rPr>
        <w:t xml:space="preserve">(slowly) </w:t>
      </w:r>
      <w:r w:rsidR="000A4750" w:rsidRPr="006B348D">
        <w:rPr>
          <w:rFonts w:ascii="Helvetica-Light" w:hAnsi="Helvetica-Light" w:cstheme="minorHAnsi"/>
        </w:rPr>
        <w:t>less severe. However, due to the large share of household</w:t>
      </w:r>
      <w:r w:rsidR="0088601C" w:rsidRPr="006B348D">
        <w:rPr>
          <w:rFonts w:ascii="Helvetica-Light" w:hAnsi="Helvetica-Light" w:cstheme="minorHAnsi"/>
        </w:rPr>
        <w:t xml:space="preserve">s </w:t>
      </w:r>
      <w:r w:rsidR="000A4750" w:rsidRPr="006B348D">
        <w:rPr>
          <w:rFonts w:ascii="Helvetica-Light" w:hAnsi="Helvetica-Light" w:cstheme="minorHAnsi"/>
        </w:rPr>
        <w:t>reporting to be living in households needing renovation</w:t>
      </w:r>
      <w:r w:rsidR="008224F3" w:rsidRPr="006B348D">
        <w:rPr>
          <w:rFonts w:ascii="Helvetica-Light" w:hAnsi="Helvetica-Light" w:cstheme="minorHAnsi"/>
        </w:rPr>
        <w:t xml:space="preserve"> (</w:t>
      </w:r>
      <w:r w:rsidR="00D624CC" w:rsidRPr="006B348D">
        <w:rPr>
          <w:rFonts w:ascii="Helvetica-Light" w:hAnsi="Helvetica-Light" w:cstheme="minorHAnsi"/>
        </w:rPr>
        <w:t>43</w:t>
      </w:r>
      <w:r w:rsidR="000A36BA">
        <w:rPr>
          <w:rFonts w:ascii="Helvetica-Light" w:hAnsi="Helvetica-Light" w:cstheme="minorHAnsi"/>
        </w:rPr>
        <w:t>.</w:t>
      </w:r>
      <w:r w:rsidR="00D624CC" w:rsidRPr="006B348D">
        <w:rPr>
          <w:rFonts w:ascii="Helvetica-Light" w:hAnsi="Helvetica-Light" w:cstheme="minorHAnsi"/>
        </w:rPr>
        <w:t>1% in urban and 51</w:t>
      </w:r>
      <w:r w:rsidR="000A36BA">
        <w:rPr>
          <w:rFonts w:ascii="Helvetica-Light" w:hAnsi="Helvetica-Light" w:cstheme="minorHAnsi"/>
        </w:rPr>
        <w:t>.</w:t>
      </w:r>
      <w:r w:rsidR="00D624CC" w:rsidRPr="006B348D">
        <w:rPr>
          <w:rFonts w:ascii="Helvetica-Light" w:hAnsi="Helvetica-Light" w:cstheme="minorHAnsi"/>
        </w:rPr>
        <w:t>7% in rural areas in 2018</w:t>
      </w:r>
      <w:r w:rsidR="008224F3" w:rsidRPr="006B348D">
        <w:rPr>
          <w:rFonts w:ascii="Helvetica-Light" w:hAnsi="Helvetica-Light" w:cstheme="minorHAnsi"/>
        </w:rPr>
        <w:t>)</w:t>
      </w:r>
      <w:r w:rsidR="000A4750" w:rsidRPr="006B348D">
        <w:rPr>
          <w:rFonts w:ascii="Helvetica-Light" w:hAnsi="Helvetica-Light" w:cstheme="minorHAnsi"/>
        </w:rPr>
        <w:t>, and to the non-negligible share of households</w:t>
      </w:r>
      <w:r w:rsidR="008224F3" w:rsidRPr="006B348D">
        <w:rPr>
          <w:rFonts w:ascii="Helvetica-Light" w:hAnsi="Helvetica-Light" w:cstheme="minorHAnsi"/>
        </w:rPr>
        <w:t xml:space="preserve"> (2</w:t>
      </w:r>
      <w:r w:rsidR="000A36BA">
        <w:rPr>
          <w:rFonts w:ascii="Helvetica-Light" w:hAnsi="Helvetica-Light" w:cstheme="minorHAnsi"/>
        </w:rPr>
        <w:t>.</w:t>
      </w:r>
      <w:r w:rsidR="008224F3" w:rsidRPr="006B348D">
        <w:rPr>
          <w:rFonts w:ascii="Helvetica-Light" w:hAnsi="Helvetica-Light" w:cstheme="minorHAnsi"/>
        </w:rPr>
        <w:t>2% in urban and 5%</w:t>
      </w:r>
      <w:r w:rsidR="00D624CC" w:rsidRPr="006B348D">
        <w:rPr>
          <w:rFonts w:ascii="Helvetica-Light" w:hAnsi="Helvetica-Light" w:cstheme="minorHAnsi"/>
        </w:rPr>
        <w:t xml:space="preserve"> in rural areas in 2018</w:t>
      </w:r>
      <w:r w:rsidR="008224F3" w:rsidRPr="006B348D">
        <w:rPr>
          <w:rFonts w:ascii="Helvetica-Light" w:hAnsi="Helvetica-Light" w:cstheme="minorHAnsi"/>
        </w:rPr>
        <w:t xml:space="preserve">) </w:t>
      </w:r>
      <w:r w:rsidR="000A4750" w:rsidRPr="006B348D">
        <w:rPr>
          <w:rFonts w:ascii="Helvetica-Light" w:hAnsi="Helvetica-Light" w:cstheme="minorHAnsi"/>
        </w:rPr>
        <w:t xml:space="preserve">reporting to be living in houses at risk of collapse, the need for urgent government intervention </w:t>
      </w:r>
      <w:r w:rsidR="00255CC4" w:rsidRPr="006B348D">
        <w:rPr>
          <w:rFonts w:ascii="Helvetica-Light" w:hAnsi="Helvetica-Light" w:cstheme="minorHAnsi"/>
        </w:rPr>
        <w:t>remains</w:t>
      </w:r>
      <w:r w:rsidR="000A4750" w:rsidRPr="006B348D">
        <w:rPr>
          <w:rFonts w:ascii="Helvetica-Light" w:hAnsi="Helvetica-Light" w:cstheme="minorHAnsi"/>
        </w:rPr>
        <w:t xml:space="preserve">. This intervention should focus initially on the identification of the houses at risk of collapse, </w:t>
      </w:r>
      <w:r w:rsidR="00255CC4" w:rsidRPr="006B348D">
        <w:rPr>
          <w:rFonts w:ascii="Helvetica-Light" w:hAnsi="Helvetica-Light" w:cstheme="minorHAnsi"/>
        </w:rPr>
        <w:t>to</w:t>
      </w:r>
      <w:r w:rsidR="000A4750" w:rsidRPr="006B348D">
        <w:rPr>
          <w:rFonts w:ascii="Helvetica-Light" w:hAnsi="Helvetica-Light" w:cstheme="minorHAnsi"/>
        </w:rPr>
        <w:t xml:space="preserve"> prevent not only homelessness but also – more importantly – the loss of human lives. At a later stage, another important action would be the assessment of the fitness of the housing stock, </w:t>
      </w:r>
      <w:r w:rsidR="00255CC4" w:rsidRPr="006B348D">
        <w:rPr>
          <w:rFonts w:ascii="Helvetica-Light" w:hAnsi="Helvetica-Light" w:cstheme="minorHAnsi"/>
        </w:rPr>
        <w:t>to</w:t>
      </w:r>
      <w:r w:rsidR="000A4750" w:rsidRPr="006B348D">
        <w:rPr>
          <w:rFonts w:ascii="Helvetica-Light" w:hAnsi="Helvetica-Light" w:cstheme="minorHAnsi"/>
        </w:rPr>
        <w:t xml:space="preserve"> produce more accurate statistics on which to base the national housing policy.</w:t>
      </w:r>
      <w:r w:rsidR="000D576C">
        <w:rPr>
          <w:rFonts w:ascii="Helvetica-Light" w:hAnsi="Helvetica-Light" w:cstheme="minorHAnsi"/>
        </w:rPr>
        <w:t xml:space="preserve"> </w:t>
      </w:r>
      <w:r w:rsidR="0013139E" w:rsidRPr="006B348D">
        <w:rPr>
          <w:rFonts w:ascii="Helvetica-Light" w:hAnsi="Helvetica-Light" w:cstheme="minorHAnsi"/>
          <w:color w:val="000000" w:themeColor="text1"/>
        </w:rPr>
        <w:t>Unsurprisingly, the disaggregated analysis has shown that unfit housing is more common phenomena in lower quartile income groups.</w:t>
      </w:r>
    </w:p>
    <w:p w14:paraId="6AB2039F" w14:textId="77777777" w:rsidR="00D60A48" w:rsidRDefault="00D60A48" w:rsidP="00146328">
      <w:pPr>
        <w:spacing w:after="240" w:line="240" w:lineRule="auto"/>
        <w:jc w:val="both"/>
        <w:rPr>
          <w:rFonts w:ascii="Helvetica-Light" w:hAnsi="Helvetica-Light" w:cstheme="minorHAnsi"/>
        </w:rPr>
      </w:pPr>
      <w:r w:rsidRPr="006B348D">
        <w:rPr>
          <w:rFonts w:ascii="Helvetica-Light" w:hAnsi="Helvetica-Light" w:cstheme="minorHAnsi"/>
        </w:rPr>
        <w:t xml:space="preserve">Overcrowding is considered as an issue, because it promotes </w:t>
      </w:r>
      <w:r w:rsidRPr="006B348D">
        <w:rPr>
          <w:rFonts w:ascii="Helvetica-Light" w:hAnsi="Helvetica-Light" w:cstheme="minorHAnsi"/>
          <w:lang w:val="en-GB"/>
        </w:rPr>
        <w:t>prevalence of infection diseases, potentially leading to a deterioration of physical health of the family members and putting children in a disadvantageous condition in terms of getting education</w:t>
      </w:r>
      <w:r w:rsidR="0045410D">
        <w:rPr>
          <w:rFonts w:ascii="Helvetica-Light" w:hAnsi="Helvetica-Light" w:cstheme="minorHAnsi"/>
          <w:lang w:val="en-GB"/>
        </w:rPr>
        <w:t xml:space="preserve">. </w:t>
      </w:r>
      <w:r w:rsidRPr="006B348D">
        <w:rPr>
          <w:rFonts w:ascii="Helvetica-Light" w:hAnsi="Helvetica-Light" w:cstheme="minorHAnsi"/>
        </w:rPr>
        <w:t>Deriving from UN habitat definition</w:t>
      </w:r>
      <w:r w:rsidRPr="006B348D">
        <w:rPr>
          <w:rStyle w:val="Rimandonotaapidipagina"/>
          <w:rFonts w:ascii="Helvetica-Light" w:hAnsi="Helvetica-Light" w:cstheme="minorHAnsi"/>
        </w:rPr>
        <w:footnoteReference w:id="18"/>
      </w:r>
      <w:r w:rsidRPr="006B348D">
        <w:rPr>
          <w:rFonts w:ascii="Helvetica-Light" w:hAnsi="Helvetica-Light" w:cstheme="minorHAnsi"/>
        </w:rPr>
        <w:t>, the share of household living in overcrowded spaces was declining in both urban (from 4.1% to 1.4%) and rural areas (from 1.5% to 0.5%) in Georgia.</w:t>
      </w:r>
    </w:p>
    <w:p w14:paraId="737858DB" w14:textId="00DF0769" w:rsidR="00142BB8" w:rsidRDefault="00277FAD" w:rsidP="00146328">
      <w:pPr>
        <w:spacing w:after="240" w:line="240" w:lineRule="auto"/>
        <w:jc w:val="both"/>
        <w:rPr>
          <w:rFonts w:ascii="Helvetica" w:hAnsi="Helvetica" w:cstheme="minorHAnsi"/>
          <w:b/>
          <w:bCs/>
          <w:i/>
          <w:iCs/>
          <w:sz w:val="24"/>
        </w:rPr>
      </w:pPr>
      <w:r>
        <w:rPr>
          <w:rFonts w:ascii="Helvetica" w:hAnsi="Helvetica" w:cstheme="minorHAnsi"/>
          <w:b/>
          <w:bCs/>
          <w:i/>
          <w:iCs/>
          <w:sz w:val="24"/>
        </w:rPr>
        <w:t>A disaggregated analysis for selected v</w:t>
      </w:r>
      <w:r w:rsidR="00142BB8">
        <w:rPr>
          <w:rFonts w:ascii="Helvetica" w:hAnsi="Helvetica" w:cstheme="minorHAnsi"/>
          <w:b/>
          <w:bCs/>
          <w:i/>
          <w:iCs/>
          <w:sz w:val="24"/>
        </w:rPr>
        <w:t>ulnerable groups</w:t>
      </w:r>
    </w:p>
    <w:p w14:paraId="7A58F407" w14:textId="6D1788E3" w:rsidR="009E2956" w:rsidRDefault="00C33D3A" w:rsidP="00146328">
      <w:pPr>
        <w:spacing w:after="240" w:line="240" w:lineRule="auto"/>
        <w:jc w:val="both"/>
        <w:rPr>
          <w:rFonts w:ascii="Helvetica-Light" w:hAnsi="Helvetica-Light" w:cstheme="minorHAnsi"/>
        </w:rPr>
      </w:pPr>
      <w:r>
        <w:rPr>
          <w:rFonts w:ascii="Helvetica-Light" w:hAnsi="Helvetica-Light" w:cstheme="minorHAnsi"/>
        </w:rPr>
        <w:t>One might expect some groups to be more vulnerable than others</w:t>
      </w:r>
      <w:r w:rsidR="00096BAB">
        <w:rPr>
          <w:rFonts w:ascii="Helvetica-Light" w:hAnsi="Helvetica-Light" w:cstheme="minorHAnsi"/>
        </w:rPr>
        <w:t>. Do such groups require a special attention?</w:t>
      </w:r>
      <w:r w:rsidR="00F10F30">
        <w:rPr>
          <w:rFonts w:ascii="Helvetica-Light" w:hAnsi="Helvetica-Light" w:cstheme="minorHAnsi"/>
        </w:rPr>
        <w:t xml:space="preserve"> Should housing policies be targeting such groups explicitly?</w:t>
      </w:r>
    </w:p>
    <w:p w14:paraId="731CF951" w14:textId="6B966B07" w:rsidR="00073B7E" w:rsidRDefault="00E523F9" w:rsidP="00146328">
      <w:pPr>
        <w:spacing w:after="240" w:line="240" w:lineRule="auto"/>
        <w:jc w:val="both"/>
        <w:rPr>
          <w:rFonts w:ascii="Helvetica-Light" w:hAnsi="Helvetica-Light" w:cstheme="minorHAnsi"/>
        </w:rPr>
      </w:pPr>
      <w:r>
        <w:rPr>
          <w:rFonts w:ascii="Helvetica-Light" w:hAnsi="Helvetica-Light" w:cstheme="minorHAnsi"/>
        </w:rPr>
        <w:lastRenderedPageBreak/>
        <w:t>To</w:t>
      </w:r>
      <w:r w:rsidR="00096BAB">
        <w:rPr>
          <w:rFonts w:ascii="Helvetica-Light" w:hAnsi="Helvetica-Light" w:cstheme="minorHAnsi"/>
        </w:rPr>
        <w:t xml:space="preserve"> answer to th</w:t>
      </w:r>
      <w:r w:rsidR="00392B4D">
        <w:rPr>
          <w:rFonts w:ascii="Helvetica-Light" w:hAnsi="Helvetica-Light" w:cstheme="minorHAnsi"/>
        </w:rPr>
        <w:t>ese</w:t>
      </w:r>
      <w:r w:rsidR="00096BAB">
        <w:rPr>
          <w:rFonts w:ascii="Helvetica-Light" w:hAnsi="Helvetica-Light" w:cstheme="minorHAnsi"/>
        </w:rPr>
        <w:t xml:space="preserve"> question</w:t>
      </w:r>
      <w:r w:rsidR="00392B4D">
        <w:rPr>
          <w:rFonts w:ascii="Helvetica-Light" w:hAnsi="Helvetica-Light" w:cstheme="minorHAnsi"/>
        </w:rPr>
        <w:t>s</w:t>
      </w:r>
      <w:r w:rsidR="00096BAB">
        <w:rPr>
          <w:rFonts w:ascii="Helvetica-Light" w:hAnsi="Helvetica-Light" w:cstheme="minorHAnsi"/>
        </w:rPr>
        <w:t>, we</w:t>
      </w:r>
      <w:r w:rsidR="00F54BC1">
        <w:rPr>
          <w:rFonts w:ascii="Helvetica-Light" w:hAnsi="Helvetica-Light" w:cstheme="minorHAnsi"/>
        </w:rPr>
        <w:t xml:space="preserve"> analyzed </w:t>
      </w:r>
      <w:proofErr w:type="spellStart"/>
      <w:r w:rsidR="00F54BC1">
        <w:rPr>
          <w:rFonts w:ascii="Helvetica-Light" w:hAnsi="Helvetica-Light" w:cstheme="minorHAnsi"/>
        </w:rPr>
        <w:t>Geostat</w:t>
      </w:r>
      <w:proofErr w:type="spellEnd"/>
      <w:r w:rsidR="00F54BC1">
        <w:rPr>
          <w:rFonts w:ascii="Helvetica-Light" w:hAnsi="Helvetica-Light" w:cstheme="minorHAnsi"/>
        </w:rPr>
        <w:t xml:space="preserve"> Household</w:t>
      </w:r>
      <w:r w:rsidR="00E2105F">
        <w:rPr>
          <w:rFonts w:ascii="Helvetica-Light" w:hAnsi="Helvetica-Light" w:cstheme="minorHAnsi"/>
        </w:rPr>
        <w:t xml:space="preserve"> Survey</w:t>
      </w:r>
      <w:r w:rsidR="00F54BC1">
        <w:rPr>
          <w:rFonts w:ascii="Helvetica-Light" w:hAnsi="Helvetica-Light" w:cstheme="minorHAnsi"/>
        </w:rPr>
        <w:t xml:space="preserve"> Data, checking for the housing situations of a few (potentially) vulnerable groups</w:t>
      </w:r>
      <w:r w:rsidR="00073B7E">
        <w:rPr>
          <w:rFonts w:ascii="Helvetica-Light" w:hAnsi="Helvetica-Light" w:cstheme="minorHAnsi"/>
        </w:rPr>
        <w:t>:</w:t>
      </w:r>
    </w:p>
    <w:p w14:paraId="6836B11B" w14:textId="77777777" w:rsidR="003D115F" w:rsidRDefault="00073B7E" w:rsidP="00073B7E">
      <w:pPr>
        <w:pStyle w:val="Paragrafoelenco"/>
        <w:numPr>
          <w:ilvl w:val="0"/>
          <w:numId w:val="10"/>
        </w:numPr>
        <w:spacing w:after="240" w:line="240" w:lineRule="auto"/>
        <w:jc w:val="both"/>
        <w:rPr>
          <w:rFonts w:ascii="Helvetica-Light" w:hAnsi="Helvetica-Light" w:cstheme="minorHAnsi"/>
        </w:rPr>
      </w:pPr>
      <w:r>
        <w:rPr>
          <w:rFonts w:ascii="Helvetica-Light" w:hAnsi="Helvetica-Light" w:cstheme="minorHAnsi"/>
        </w:rPr>
        <w:t>The households belonging to the two lowest quartiles</w:t>
      </w:r>
      <w:r w:rsidR="00F54BC1" w:rsidRPr="007F282F">
        <w:rPr>
          <w:rFonts w:ascii="Helvetica-Light" w:hAnsi="Helvetica-Light" w:cstheme="minorHAnsi"/>
        </w:rPr>
        <w:t xml:space="preserve"> </w:t>
      </w:r>
      <w:r w:rsidR="003D115F">
        <w:rPr>
          <w:rFonts w:ascii="Helvetica-Light" w:hAnsi="Helvetica-Light" w:cstheme="minorHAnsi"/>
        </w:rPr>
        <w:t xml:space="preserve">of the household income </w:t>
      </w:r>
      <w:proofErr w:type="gramStart"/>
      <w:r w:rsidR="003D115F">
        <w:rPr>
          <w:rFonts w:ascii="Helvetica-Light" w:hAnsi="Helvetica-Light" w:cstheme="minorHAnsi"/>
        </w:rPr>
        <w:t>distribution;</w:t>
      </w:r>
      <w:proofErr w:type="gramEnd"/>
    </w:p>
    <w:p w14:paraId="61BC92AD" w14:textId="65F150E0" w:rsidR="003D115F" w:rsidRDefault="003D115F" w:rsidP="00073B7E">
      <w:pPr>
        <w:pStyle w:val="Paragrafoelenco"/>
        <w:numPr>
          <w:ilvl w:val="0"/>
          <w:numId w:val="10"/>
        </w:numPr>
        <w:spacing w:after="240" w:line="240" w:lineRule="auto"/>
        <w:jc w:val="both"/>
        <w:rPr>
          <w:rFonts w:ascii="Helvetica-Light" w:hAnsi="Helvetica-Light" w:cstheme="minorHAnsi"/>
        </w:rPr>
      </w:pPr>
      <w:r>
        <w:rPr>
          <w:rFonts w:ascii="Helvetica-Light" w:hAnsi="Helvetica-Light" w:cstheme="minorHAnsi"/>
        </w:rPr>
        <w:t>Internally Displaced Persons</w:t>
      </w:r>
      <w:r w:rsidR="004D3DAA">
        <w:rPr>
          <w:rFonts w:ascii="Helvetica-Light" w:hAnsi="Helvetica-Light" w:cstheme="minorHAnsi"/>
        </w:rPr>
        <w:t>/</w:t>
      </w:r>
      <w:r w:rsidR="004D3DAA" w:rsidRPr="007F282F">
        <w:rPr>
          <w:rFonts w:ascii="Helvetica-Light" w:hAnsi="Helvetica-Light" w:cstheme="minorHAnsi"/>
        </w:rPr>
        <w:t>Individuals</w:t>
      </w:r>
      <w:r w:rsidR="002929E3" w:rsidRPr="007F282F">
        <w:rPr>
          <w:rFonts w:ascii="Helvetica-Light" w:hAnsi="Helvetica-Light" w:cstheme="minorHAnsi"/>
        </w:rPr>
        <w:t xml:space="preserve"> (</w:t>
      </w:r>
      <w:r w:rsidR="007F282F">
        <w:rPr>
          <w:rFonts w:ascii="Helvetica-Light" w:hAnsi="Helvetica-Light" w:cstheme="minorHAnsi"/>
        </w:rPr>
        <w:t xml:space="preserve">based on </w:t>
      </w:r>
      <w:proofErr w:type="spellStart"/>
      <w:r w:rsidR="007F282F">
        <w:rPr>
          <w:rFonts w:ascii="Helvetica-Light" w:hAnsi="Helvetica-Light" w:cstheme="minorHAnsi"/>
        </w:rPr>
        <w:t>Geostat</w:t>
      </w:r>
      <w:proofErr w:type="spellEnd"/>
      <w:r w:rsidR="007F282F">
        <w:rPr>
          <w:rFonts w:ascii="Helvetica-Light" w:hAnsi="Helvetica-Light" w:cstheme="minorHAnsi"/>
        </w:rPr>
        <w:t xml:space="preserve"> definition, does not include</w:t>
      </w:r>
      <w:r w:rsidR="002929E3" w:rsidRPr="007F282F">
        <w:rPr>
          <w:rFonts w:ascii="Helvetica-Light" w:hAnsi="Helvetica-Light" w:cstheme="minorHAnsi"/>
        </w:rPr>
        <w:t xml:space="preserve"> eco-migrant</w:t>
      </w:r>
      <w:r w:rsidR="002929E3">
        <w:rPr>
          <w:rFonts w:ascii="Helvetica-Light" w:hAnsi="Helvetica-Light" w:cstheme="minorHAnsi"/>
        </w:rPr>
        <w:t>s</w:t>
      </w:r>
      <w:proofErr w:type="gramStart"/>
      <w:r w:rsidR="002929E3">
        <w:rPr>
          <w:rFonts w:ascii="Helvetica-Light" w:hAnsi="Helvetica-Light" w:cstheme="minorHAnsi"/>
        </w:rPr>
        <w:t>)</w:t>
      </w:r>
      <w:r>
        <w:rPr>
          <w:rFonts w:ascii="Helvetica-Light" w:hAnsi="Helvetica-Light" w:cstheme="minorHAnsi"/>
        </w:rPr>
        <w:t>;</w:t>
      </w:r>
      <w:proofErr w:type="gramEnd"/>
    </w:p>
    <w:p w14:paraId="7F57869F" w14:textId="77777777" w:rsidR="00F426E4" w:rsidRDefault="00F426E4" w:rsidP="00073B7E">
      <w:pPr>
        <w:pStyle w:val="Paragrafoelenco"/>
        <w:numPr>
          <w:ilvl w:val="0"/>
          <w:numId w:val="10"/>
        </w:numPr>
        <w:spacing w:after="240" w:line="240" w:lineRule="auto"/>
        <w:jc w:val="both"/>
        <w:rPr>
          <w:rFonts w:ascii="Helvetica-Light" w:hAnsi="Helvetica-Light" w:cstheme="minorHAnsi"/>
        </w:rPr>
      </w:pPr>
      <w:r>
        <w:rPr>
          <w:rFonts w:ascii="Helvetica-Light" w:hAnsi="Helvetica-Light" w:cstheme="minorHAnsi"/>
        </w:rPr>
        <w:t>Household with female household head;</w:t>
      </w:r>
    </w:p>
    <w:p w14:paraId="38FE9F7E" w14:textId="3196798B" w:rsidR="00F426E4" w:rsidRDefault="00F426E4" w:rsidP="00073B7E">
      <w:pPr>
        <w:pStyle w:val="Paragrafoelenco"/>
        <w:numPr>
          <w:ilvl w:val="0"/>
          <w:numId w:val="10"/>
        </w:numPr>
        <w:spacing w:after="240" w:line="240" w:lineRule="auto"/>
        <w:jc w:val="both"/>
        <w:rPr>
          <w:rFonts w:ascii="Helvetica-Light" w:hAnsi="Helvetica-Light" w:cstheme="minorHAnsi"/>
        </w:rPr>
      </w:pPr>
      <w:r>
        <w:rPr>
          <w:rFonts w:ascii="Helvetica-Light" w:hAnsi="Helvetica-Light" w:cstheme="minorHAnsi"/>
        </w:rPr>
        <w:t>Households with some disabled member.</w:t>
      </w:r>
    </w:p>
    <w:p w14:paraId="4441538B" w14:textId="072BEC8A" w:rsidR="00F54BC1" w:rsidRPr="007F282F" w:rsidRDefault="00E117A7">
      <w:pPr>
        <w:spacing w:after="240" w:line="240" w:lineRule="auto"/>
        <w:jc w:val="both"/>
        <w:rPr>
          <w:rFonts w:ascii="Helvetica-Light" w:hAnsi="Helvetica-Light" w:cstheme="minorHAnsi"/>
        </w:rPr>
      </w:pPr>
      <w:r w:rsidRPr="007F282F">
        <w:rPr>
          <w:rFonts w:ascii="Helvetica-Light" w:hAnsi="Helvetica-Light" w:cstheme="minorHAnsi"/>
        </w:rPr>
        <w:t xml:space="preserve">The results obtained are included in Table </w:t>
      </w:r>
      <w:r w:rsidR="008061BF">
        <w:rPr>
          <w:rFonts w:ascii="Helvetica-Light" w:hAnsi="Helvetica-Light" w:cstheme="minorHAnsi"/>
        </w:rPr>
        <w:t>2</w:t>
      </w:r>
      <w:r w:rsidR="00073B7E" w:rsidRPr="007F282F">
        <w:rPr>
          <w:rFonts w:ascii="Helvetica-Light" w:hAnsi="Helvetica-Light" w:cstheme="minorHAnsi"/>
        </w:rPr>
        <w:t>, below.</w:t>
      </w:r>
    </w:p>
    <w:p w14:paraId="048F6439" w14:textId="3B1E0FC0" w:rsidR="00390C4F" w:rsidRDefault="00390C4F" w:rsidP="00146328">
      <w:pPr>
        <w:spacing w:after="240" w:line="240" w:lineRule="auto"/>
        <w:jc w:val="both"/>
        <w:rPr>
          <w:rFonts w:ascii="Helvetica-Light" w:hAnsi="Helvetica-Light" w:cstheme="minorHAnsi"/>
        </w:rPr>
      </w:pPr>
      <w:r w:rsidRPr="007F282F">
        <w:rPr>
          <w:rFonts w:ascii="Helvetica-Light" w:hAnsi="Helvetica-Light" w:cstheme="minorHAnsi"/>
          <w:b/>
          <w:bCs/>
          <w:color w:val="44546A" w:themeColor="text2"/>
          <w:sz w:val="20"/>
        </w:rPr>
        <w:t xml:space="preserve">Table </w:t>
      </w:r>
      <w:r w:rsidR="008061BF">
        <w:rPr>
          <w:rFonts w:ascii="Helvetica-Light" w:hAnsi="Helvetica-Light" w:cstheme="minorHAnsi"/>
          <w:b/>
          <w:bCs/>
          <w:color w:val="44546A" w:themeColor="text2"/>
          <w:sz w:val="20"/>
        </w:rPr>
        <w:t>2</w:t>
      </w:r>
      <w:r w:rsidRPr="007F282F">
        <w:rPr>
          <w:rFonts w:ascii="Helvetica-Light" w:hAnsi="Helvetica-Light" w:cstheme="minorHAnsi"/>
          <w:b/>
          <w:bCs/>
          <w:color w:val="44546A" w:themeColor="text2"/>
          <w:sz w:val="20"/>
        </w:rPr>
        <w:t>.</w:t>
      </w:r>
      <w:r>
        <w:rPr>
          <w:rFonts w:ascii="Helvetica-Light" w:hAnsi="Helvetica-Light" w:cstheme="minorHAnsi"/>
        </w:rPr>
        <w:t xml:space="preserve"> </w:t>
      </w:r>
      <w:r w:rsidR="00481551" w:rsidRPr="007F282F">
        <w:rPr>
          <w:rFonts w:ascii="Helvetica-Light" w:hAnsi="Helvetica-Light" w:cstheme="minorHAnsi"/>
          <w:i/>
          <w:iCs/>
          <w:color w:val="44546A" w:themeColor="text2"/>
          <w:sz w:val="20"/>
        </w:rPr>
        <w:t>Selected unstable housing indicators for vulnerable groups</w:t>
      </w:r>
    </w:p>
    <w:tbl>
      <w:tblPr>
        <w:tblStyle w:val="Grigliatabella"/>
        <w:tblW w:w="0" w:type="auto"/>
        <w:tblLook w:val="04A0" w:firstRow="1" w:lastRow="0" w:firstColumn="1" w:lastColumn="0" w:noHBand="0" w:noVBand="1"/>
      </w:tblPr>
      <w:tblGrid>
        <w:gridCol w:w="1778"/>
        <w:gridCol w:w="1313"/>
        <w:gridCol w:w="1310"/>
        <w:gridCol w:w="1310"/>
        <w:gridCol w:w="1291"/>
        <w:gridCol w:w="1451"/>
        <w:gridCol w:w="1319"/>
      </w:tblGrid>
      <w:tr w:rsidR="00390C4F" w14:paraId="18B3936C" w14:textId="77777777" w:rsidTr="00E2105F">
        <w:tc>
          <w:tcPr>
            <w:tcW w:w="1477" w:type="dxa"/>
            <w:shd w:val="clear" w:color="auto" w:fill="002060"/>
          </w:tcPr>
          <w:p w14:paraId="31EAB3E7" w14:textId="77777777" w:rsidR="00390C4F" w:rsidRPr="007F282F" w:rsidRDefault="00390C4F" w:rsidP="00E2105F">
            <w:pPr>
              <w:jc w:val="center"/>
              <w:rPr>
                <w:rFonts w:ascii="Helvetica" w:hAnsi="Helvetica" w:cs="Helvetica"/>
                <w:b/>
                <w:bCs/>
                <w:color w:val="FFFFFF" w:themeColor="background1"/>
              </w:rPr>
            </w:pPr>
          </w:p>
        </w:tc>
        <w:tc>
          <w:tcPr>
            <w:tcW w:w="1313" w:type="dxa"/>
            <w:shd w:val="clear" w:color="auto" w:fill="002060"/>
            <w:vAlign w:val="center"/>
          </w:tcPr>
          <w:p w14:paraId="14046F66" w14:textId="77777777" w:rsidR="00390C4F" w:rsidRPr="007F282F" w:rsidRDefault="00390C4F" w:rsidP="007F282F">
            <w:pPr>
              <w:jc w:val="center"/>
              <w:rPr>
                <w:rFonts w:ascii="Helvetica" w:hAnsi="Helvetica" w:cs="Helvetica"/>
                <w:b/>
                <w:bCs/>
                <w:color w:val="FFFFFF" w:themeColor="background1"/>
              </w:rPr>
            </w:pPr>
            <w:r w:rsidRPr="007F282F">
              <w:rPr>
                <w:rFonts w:ascii="Helvetica" w:hAnsi="Helvetica" w:cs="Helvetica"/>
                <w:b/>
                <w:bCs/>
                <w:color w:val="FFFFFF" w:themeColor="background1"/>
              </w:rPr>
              <w:t>National average</w:t>
            </w:r>
          </w:p>
        </w:tc>
        <w:tc>
          <w:tcPr>
            <w:tcW w:w="1310" w:type="dxa"/>
            <w:shd w:val="clear" w:color="auto" w:fill="002060"/>
            <w:vAlign w:val="center"/>
          </w:tcPr>
          <w:p w14:paraId="093264AA" w14:textId="77777777" w:rsidR="00390C4F" w:rsidRPr="007F282F" w:rsidRDefault="00390C4F" w:rsidP="007F282F">
            <w:pPr>
              <w:tabs>
                <w:tab w:val="left" w:pos="942"/>
              </w:tabs>
              <w:jc w:val="center"/>
              <w:rPr>
                <w:rFonts w:ascii="Helvetica" w:hAnsi="Helvetica" w:cs="Helvetica"/>
                <w:b/>
                <w:bCs/>
                <w:color w:val="FFFFFF" w:themeColor="background1"/>
              </w:rPr>
            </w:pPr>
            <w:r w:rsidRPr="007F282F">
              <w:rPr>
                <w:rFonts w:ascii="Helvetica" w:hAnsi="Helvetica" w:cs="Helvetica"/>
                <w:b/>
                <w:bCs/>
                <w:color w:val="FFFFFF" w:themeColor="background1"/>
              </w:rPr>
              <w:t>1</w:t>
            </w:r>
            <w:r w:rsidRPr="007F282F">
              <w:rPr>
                <w:rFonts w:ascii="Helvetica" w:hAnsi="Helvetica" w:cs="Helvetica"/>
                <w:b/>
                <w:bCs/>
                <w:color w:val="FFFFFF" w:themeColor="background1"/>
                <w:vertAlign w:val="superscript"/>
              </w:rPr>
              <w:t>st</w:t>
            </w:r>
            <w:r w:rsidRPr="007F282F">
              <w:rPr>
                <w:rFonts w:ascii="Helvetica" w:hAnsi="Helvetica" w:cs="Helvetica"/>
                <w:b/>
                <w:bCs/>
                <w:color w:val="FFFFFF" w:themeColor="background1"/>
              </w:rPr>
              <w:t xml:space="preserve"> income quartile</w:t>
            </w:r>
          </w:p>
        </w:tc>
        <w:tc>
          <w:tcPr>
            <w:tcW w:w="1310" w:type="dxa"/>
            <w:shd w:val="clear" w:color="auto" w:fill="002060"/>
            <w:vAlign w:val="center"/>
          </w:tcPr>
          <w:p w14:paraId="6D4C819B" w14:textId="77777777" w:rsidR="00390C4F" w:rsidRPr="007F282F" w:rsidRDefault="00390C4F" w:rsidP="007F282F">
            <w:pPr>
              <w:jc w:val="center"/>
              <w:rPr>
                <w:rFonts w:ascii="Helvetica" w:hAnsi="Helvetica" w:cs="Helvetica"/>
                <w:b/>
                <w:bCs/>
                <w:color w:val="FFFFFF" w:themeColor="background1"/>
              </w:rPr>
            </w:pPr>
            <w:r w:rsidRPr="007F282F">
              <w:rPr>
                <w:rFonts w:ascii="Helvetica" w:hAnsi="Helvetica" w:cs="Helvetica"/>
                <w:b/>
                <w:bCs/>
                <w:color w:val="FFFFFF" w:themeColor="background1"/>
              </w:rPr>
              <w:t>2</w:t>
            </w:r>
            <w:r w:rsidRPr="007F282F">
              <w:rPr>
                <w:rFonts w:ascii="Helvetica" w:hAnsi="Helvetica" w:cs="Helvetica"/>
                <w:b/>
                <w:bCs/>
                <w:color w:val="FFFFFF" w:themeColor="background1"/>
                <w:vertAlign w:val="superscript"/>
              </w:rPr>
              <w:t>nd</w:t>
            </w:r>
            <w:r w:rsidRPr="007F282F">
              <w:rPr>
                <w:rFonts w:ascii="Helvetica" w:hAnsi="Helvetica" w:cs="Helvetica"/>
                <w:b/>
                <w:bCs/>
                <w:color w:val="FFFFFF" w:themeColor="background1"/>
              </w:rPr>
              <w:t xml:space="preserve"> income quartile</w:t>
            </w:r>
          </w:p>
        </w:tc>
        <w:tc>
          <w:tcPr>
            <w:tcW w:w="1291" w:type="dxa"/>
            <w:shd w:val="clear" w:color="auto" w:fill="002060"/>
            <w:vAlign w:val="center"/>
          </w:tcPr>
          <w:p w14:paraId="2B150BD3" w14:textId="77777777" w:rsidR="00390C4F" w:rsidRPr="007F282F" w:rsidRDefault="00390C4F" w:rsidP="007F282F">
            <w:pPr>
              <w:jc w:val="center"/>
              <w:rPr>
                <w:rFonts w:ascii="Helvetica" w:hAnsi="Helvetica" w:cs="Helvetica"/>
                <w:b/>
                <w:bCs/>
                <w:color w:val="FFFFFF" w:themeColor="background1"/>
              </w:rPr>
            </w:pPr>
            <w:r w:rsidRPr="007F282F">
              <w:rPr>
                <w:rFonts w:ascii="Helvetica" w:hAnsi="Helvetica" w:cs="Helvetica"/>
                <w:b/>
                <w:bCs/>
                <w:color w:val="FFFFFF" w:themeColor="background1"/>
              </w:rPr>
              <w:t>IDPs</w:t>
            </w:r>
          </w:p>
        </w:tc>
        <w:tc>
          <w:tcPr>
            <w:tcW w:w="1330" w:type="dxa"/>
            <w:shd w:val="clear" w:color="auto" w:fill="002060"/>
            <w:vAlign w:val="center"/>
          </w:tcPr>
          <w:p w14:paraId="61736282" w14:textId="77777777" w:rsidR="00390C4F" w:rsidRPr="007F282F" w:rsidRDefault="00390C4F" w:rsidP="007F282F">
            <w:pPr>
              <w:jc w:val="center"/>
              <w:rPr>
                <w:rFonts w:ascii="Helvetica" w:hAnsi="Helvetica" w:cs="Helvetica"/>
                <w:b/>
                <w:bCs/>
                <w:color w:val="FFFFFF" w:themeColor="background1"/>
              </w:rPr>
            </w:pPr>
            <w:r w:rsidRPr="007F282F">
              <w:rPr>
                <w:rFonts w:ascii="Helvetica" w:hAnsi="Helvetica" w:cs="Helvetica"/>
                <w:b/>
                <w:bCs/>
                <w:color w:val="FFFFFF" w:themeColor="background1"/>
              </w:rPr>
              <w:t>Female headed households</w:t>
            </w:r>
          </w:p>
        </w:tc>
        <w:tc>
          <w:tcPr>
            <w:tcW w:w="1319" w:type="dxa"/>
            <w:shd w:val="clear" w:color="auto" w:fill="002060"/>
            <w:vAlign w:val="center"/>
          </w:tcPr>
          <w:p w14:paraId="229712A9" w14:textId="77777777" w:rsidR="00390C4F" w:rsidRPr="007F282F" w:rsidRDefault="00390C4F" w:rsidP="007F282F">
            <w:pPr>
              <w:jc w:val="center"/>
              <w:rPr>
                <w:rFonts w:ascii="Helvetica" w:hAnsi="Helvetica" w:cs="Helvetica"/>
                <w:b/>
                <w:bCs/>
                <w:color w:val="FFFFFF" w:themeColor="background1"/>
              </w:rPr>
            </w:pPr>
            <w:r w:rsidRPr="007F282F">
              <w:rPr>
                <w:rFonts w:ascii="Helvetica" w:hAnsi="Helvetica" w:cs="Helvetica"/>
                <w:b/>
                <w:bCs/>
                <w:color w:val="FFFFFF" w:themeColor="background1"/>
              </w:rPr>
              <w:t>Families with disabled members</w:t>
            </w:r>
          </w:p>
        </w:tc>
      </w:tr>
      <w:tr w:rsidR="00390C4F" w:rsidRPr="00FC491C" w14:paraId="6380FF3F" w14:textId="77777777" w:rsidTr="00B20EF7">
        <w:tc>
          <w:tcPr>
            <w:tcW w:w="9350" w:type="dxa"/>
            <w:gridSpan w:val="7"/>
          </w:tcPr>
          <w:p w14:paraId="3C2B4849" w14:textId="77777777" w:rsidR="00390C4F" w:rsidRPr="007F282F" w:rsidRDefault="00390C4F" w:rsidP="00B20EF7">
            <w:pPr>
              <w:jc w:val="center"/>
              <w:rPr>
                <w:rFonts w:ascii="Helvetica" w:hAnsi="Helvetica" w:cs="Helvetica"/>
                <w:b/>
                <w:bCs/>
              </w:rPr>
            </w:pPr>
            <w:r w:rsidRPr="007F282F">
              <w:rPr>
                <w:rFonts w:ascii="Helvetica" w:hAnsi="Helvetica" w:cs="Helvetica"/>
                <w:b/>
                <w:bCs/>
              </w:rPr>
              <w:t>Urban areas</w:t>
            </w:r>
          </w:p>
        </w:tc>
      </w:tr>
      <w:tr w:rsidR="00390C4F" w14:paraId="13073583" w14:textId="77777777" w:rsidTr="007F282F">
        <w:tc>
          <w:tcPr>
            <w:tcW w:w="1477" w:type="dxa"/>
          </w:tcPr>
          <w:p w14:paraId="66CCEED9" w14:textId="77777777" w:rsidR="00390C4F" w:rsidRPr="007F282F" w:rsidRDefault="00390C4F" w:rsidP="00B20EF7">
            <w:pPr>
              <w:rPr>
                <w:rFonts w:ascii="Helvetica" w:hAnsi="Helvetica" w:cs="Helvetica"/>
              </w:rPr>
            </w:pPr>
            <w:r w:rsidRPr="007F282F">
              <w:rPr>
                <w:rFonts w:ascii="Helvetica" w:hAnsi="Helvetica" w:cs="Helvetica"/>
              </w:rPr>
              <w:t>Unaffordability</w:t>
            </w:r>
            <w:r w:rsidRPr="007F282F">
              <w:rPr>
                <w:rStyle w:val="Rimandonotaapidipagina"/>
                <w:rFonts w:ascii="Helvetica" w:hAnsi="Helvetica" w:cs="Helvetica"/>
              </w:rPr>
              <w:footnoteReference w:id="19"/>
            </w:r>
          </w:p>
        </w:tc>
        <w:tc>
          <w:tcPr>
            <w:tcW w:w="1313" w:type="dxa"/>
            <w:shd w:val="clear" w:color="auto" w:fill="auto"/>
          </w:tcPr>
          <w:p w14:paraId="5EF3E84D" w14:textId="77777777" w:rsidR="00390C4F" w:rsidRPr="007F282F" w:rsidRDefault="00390C4F" w:rsidP="00B20EF7">
            <w:pPr>
              <w:jc w:val="center"/>
              <w:rPr>
                <w:rFonts w:ascii="Helvetica" w:hAnsi="Helvetica" w:cs="Helvetica"/>
                <w:color w:val="000000"/>
              </w:rPr>
            </w:pPr>
            <w:r w:rsidRPr="007F282F">
              <w:rPr>
                <w:rFonts w:ascii="Helvetica" w:hAnsi="Helvetica" w:cs="Helvetica"/>
              </w:rPr>
              <w:t>6.73%</w:t>
            </w:r>
          </w:p>
        </w:tc>
        <w:tc>
          <w:tcPr>
            <w:tcW w:w="1310" w:type="dxa"/>
            <w:shd w:val="clear" w:color="auto" w:fill="auto"/>
          </w:tcPr>
          <w:p w14:paraId="4E23BA46" w14:textId="77777777" w:rsidR="00390C4F" w:rsidRPr="007F282F" w:rsidRDefault="00390C4F" w:rsidP="00B20EF7">
            <w:pPr>
              <w:jc w:val="center"/>
              <w:rPr>
                <w:rFonts w:ascii="Helvetica" w:hAnsi="Helvetica" w:cs="Helvetica"/>
                <w:b/>
                <w:bCs/>
              </w:rPr>
            </w:pPr>
            <w:r w:rsidRPr="007F282F">
              <w:rPr>
                <w:rFonts w:ascii="Helvetica" w:hAnsi="Helvetica" w:cs="Helvetica"/>
                <w:b/>
                <w:bCs/>
              </w:rPr>
              <w:t>15.3%</w:t>
            </w:r>
          </w:p>
        </w:tc>
        <w:tc>
          <w:tcPr>
            <w:tcW w:w="1310" w:type="dxa"/>
            <w:shd w:val="clear" w:color="auto" w:fill="auto"/>
          </w:tcPr>
          <w:p w14:paraId="4BADE346" w14:textId="77777777" w:rsidR="00390C4F" w:rsidRPr="007F282F" w:rsidRDefault="00390C4F" w:rsidP="00B20EF7">
            <w:pPr>
              <w:jc w:val="center"/>
              <w:rPr>
                <w:rFonts w:ascii="Helvetica" w:hAnsi="Helvetica" w:cs="Helvetica"/>
              </w:rPr>
            </w:pPr>
            <w:r w:rsidRPr="007F282F">
              <w:rPr>
                <w:rFonts w:ascii="Helvetica" w:hAnsi="Helvetica" w:cs="Helvetica"/>
              </w:rPr>
              <w:t>6.7%</w:t>
            </w:r>
          </w:p>
        </w:tc>
        <w:tc>
          <w:tcPr>
            <w:tcW w:w="1291" w:type="dxa"/>
            <w:shd w:val="clear" w:color="auto" w:fill="auto"/>
          </w:tcPr>
          <w:p w14:paraId="68F4D815" w14:textId="77777777" w:rsidR="00390C4F" w:rsidRPr="007F282F" w:rsidRDefault="00390C4F" w:rsidP="00B20EF7">
            <w:pPr>
              <w:jc w:val="center"/>
              <w:rPr>
                <w:rFonts w:ascii="Helvetica" w:hAnsi="Helvetica" w:cs="Helvetica"/>
                <w:color w:val="000000"/>
              </w:rPr>
            </w:pPr>
            <w:r w:rsidRPr="007F282F">
              <w:rPr>
                <w:rFonts w:ascii="Helvetica" w:hAnsi="Helvetica" w:cs="Helvetica"/>
                <w:color w:val="000000"/>
              </w:rPr>
              <w:t>5.60%</w:t>
            </w:r>
          </w:p>
        </w:tc>
        <w:tc>
          <w:tcPr>
            <w:tcW w:w="1330" w:type="dxa"/>
            <w:shd w:val="clear" w:color="auto" w:fill="auto"/>
          </w:tcPr>
          <w:p w14:paraId="14128DCD" w14:textId="77777777" w:rsidR="00390C4F" w:rsidRPr="007F282F" w:rsidRDefault="00390C4F" w:rsidP="00B20EF7">
            <w:pPr>
              <w:jc w:val="center"/>
              <w:rPr>
                <w:rFonts w:ascii="Helvetica" w:hAnsi="Helvetica" w:cs="Helvetica"/>
                <w:b/>
                <w:bCs/>
                <w:color w:val="000000"/>
              </w:rPr>
            </w:pPr>
            <w:r w:rsidRPr="007F282F">
              <w:rPr>
                <w:rFonts w:ascii="Helvetica" w:hAnsi="Helvetica" w:cs="Helvetica"/>
                <w:b/>
                <w:bCs/>
                <w:color w:val="000000"/>
              </w:rPr>
              <w:t>7.82%</w:t>
            </w:r>
          </w:p>
        </w:tc>
        <w:tc>
          <w:tcPr>
            <w:tcW w:w="1319" w:type="dxa"/>
            <w:shd w:val="clear" w:color="auto" w:fill="auto"/>
          </w:tcPr>
          <w:p w14:paraId="26D6A1BA" w14:textId="77777777" w:rsidR="00390C4F" w:rsidRPr="007F282F" w:rsidRDefault="00390C4F" w:rsidP="00B20EF7">
            <w:pPr>
              <w:jc w:val="center"/>
              <w:rPr>
                <w:rFonts w:ascii="Helvetica" w:hAnsi="Helvetica" w:cs="Helvetica"/>
                <w:color w:val="000000"/>
              </w:rPr>
            </w:pPr>
            <w:r w:rsidRPr="007F282F">
              <w:rPr>
                <w:rFonts w:ascii="Helvetica" w:hAnsi="Helvetica" w:cs="Helvetica"/>
                <w:color w:val="000000"/>
              </w:rPr>
              <w:t>4.1%</w:t>
            </w:r>
          </w:p>
        </w:tc>
      </w:tr>
      <w:tr w:rsidR="00390C4F" w14:paraId="7BEF1F16" w14:textId="77777777" w:rsidTr="007F282F">
        <w:tc>
          <w:tcPr>
            <w:tcW w:w="1477" w:type="dxa"/>
          </w:tcPr>
          <w:p w14:paraId="169CAD5F" w14:textId="77777777" w:rsidR="00390C4F" w:rsidRPr="007F282F" w:rsidRDefault="00390C4F" w:rsidP="00B20EF7">
            <w:pPr>
              <w:rPr>
                <w:rFonts w:ascii="Helvetica" w:hAnsi="Helvetica" w:cs="Helvetica"/>
              </w:rPr>
            </w:pPr>
            <w:r w:rsidRPr="007F282F">
              <w:rPr>
                <w:rFonts w:ascii="Helvetica" w:hAnsi="Helvetica" w:cs="Helvetica"/>
              </w:rPr>
              <w:t>Unfit houses</w:t>
            </w:r>
            <w:r w:rsidRPr="007F282F">
              <w:rPr>
                <w:rStyle w:val="Rimandonotaapidipagina"/>
                <w:rFonts w:ascii="Helvetica" w:hAnsi="Helvetica" w:cs="Helvetica"/>
              </w:rPr>
              <w:footnoteReference w:id="20"/>
            </w:r>
          </w:p>
        </w:tc>
        <w:tc>
          <w:tcPr>
            <w:tcW w:w="1313" w:type="dxa"/>
            <w:shd w:val="clear" w:color="auto" w:fill="auto"/>
          </w:tcPr>
          <w:p w14:paraId="13B3D3A1" w14:textId="77777777" w:rsidR="00390C4F" w:rsidRPr="007F282F" w:rsidRDefault="00390C4F" w:rsidP="00B20EF7">
            <w:pPr>
              <w:jc w:val="center"/>
              <w:rPr>
                <w:rFonts w:ascii="Helvetica" w:hAnsi="Helvetica" w:cs="Helvetica"/>
              </w:rPr>
            </w:pPr>
            <w:r w:rsidRPr="007F282F">
              <w:rPr>
                <w:rFonts w:ascii="Helvetica" w:hAnsi="Helvetica" w:cs="Helvetica"/>
              </w:rPr>
              <w:t>44.3%</w:t>
            </w:r>
          </w:p>
        </w:tc>
        <w:tc>
          <w:tcPr>
            <w:tcW w:w="1310" w:type="dxa"/>
            <w:shd w:val="clear" w:color="auto" w:fill="auto"/>
          </w:tcPr>
          <w:p w14:paraId="74CA9137" w14:textId="77777777" w:rsidR="00390C4F" w:rsidRPr="007F282F" w:rsidRDefault="00390C4F" w:rsidP="00B20EF7">
            <w:pPr>
              <w:jc w:val="center"/>
              <w:rPr>
                <w:rFonts w:ascii="Helvetica" w:hAnsi="Helvetica" w:cs="Helvetica"/>
                <w:b/>
                <w:bCs/>
              </w:rPr>
            </w:pPr>
            <w:r w:rsidRPr="007F282F">
              <w:rPr>
                <w:rFonts w:ascii="Helvetica" w:hAnsi="Helvetica" w:cs="Helvetica"/>
                <w:b/>
                <w:bCs/>
              </w:rPr>
              <w:t>56.7%</w:t>
            </w:r>
          </w:p>
        </w:tc>
        <w:tc>
          <w:tcPr>
            <w:tcW w:w="1310" w:type="dxa"/>
            <w:shd w:val="clear" w:color="auto" w:fill="auto"/>
          </w:tcPr>
          <w:p w14:paraId="1A31E0FF" w14:textId="77777777" w:rsidR="00390C4F" w:rsidRPr="007F282F" w:rsidRDefault="00390C4F" w:rsidP="00B20EF7">
            <w:pPr>
              <w:jc w:val="center"/>
              <w:rPr>
                <w:rFonts w:ascii="Helvetica" w:hAnsi="Helvetica" w:cs="Helvetica"/>
                <w:b/>
                <w:bCs/>
              </w:rPr>
            </w:pPr>
            <w:r w:rsidRPr="007F282F">
              <w:rPr>
                <w:rFonts w:ascii="Helvetica" w:hAnsi="Helvetica" w:cs="Helvetica"/>
                <w:b/>
                <w:bCs/>
              </w:rPr>
              <w:t>49.2%</w:t>
            </w:r>
          </w:p>
        </w:tc>
        <w:tc>
          <w:tcPr>
            <w:tcW w:w="1291" w:type="dxa"/>
            <w:shd w:val="clear" w:color="auto" w:fill="auto"/>
          </w:tcPr>
          <w:p w14:paraId="06914D6A" w14:textId="77777777" w:rsidR="00390C4F" w:rsidRPr="007F282F" w:rsidRDefault="00390C4F" w:rsidP="00B20EF7">
            <w:pPr>
              <w:tabs>
                <w:tab w:val="left" w:pos="864"/>
              </w:tabs>
              <w:jc w:val="center"/>
              <w:rPr>
                <w:rFonts w:ascii="Helvetica" w:hAnsi="Helvetica" w:cs="Helvetica"/>
                <w:b/>
                <w:bCs/>
              </w:rPr>
            </w:pPr>
            <w:r w:rsidRPr="007F282F">
              <w:rPr>
                <w:rFonts w:ascii="Helvetica" w:hAnsi="Helvetica" w:cs="Helvetica"/>
                <w:b/>
                <w:bCs/>
              </w:rPr>
              <w:t>46.5%</w:t>
            </w:r>
          </w:p>
        </w:tc>
        <w:tc>
          <w:tcPr>
            <w:tcW w:w="1330" w:type="dxa"/>
            <w:shd w:val="clear" w:color="auto" w:fill="auto"/>
          </w:tcPr>
          <w:p w14:paraId="0F538685" w14:textId="77777777" w:rsidR="00390C4F" w:rsidRPr="007F282F" w:rsidRDefault="00390C4F" w:rsidP="00B20EF7">
            <w:pPr>
              <w:jc w:val="center"/>
              <w:rPr>
                <w:rFonts w:ascii="Helvetica" w:hAnsi="Helvetica" w:cs="Helvetica"/>
                <w:b/>
                <w:bCs/>
              </w:rPr>
            </w:pPr>
            <w:r w:rsidRPr="007F282F">
              <w:rPr>
                <w:rFonts w:ascii="Helvetica" w:hAnsi="Helvetica" w:cs="Helvetica"/>
                <w:b/>
                <w:bCs/>
              </w:rPr>
              <w:t>49.1%</w:t>
            </w:r>
          </w:p>
        </w:tc>
        <w:tc>
          <w:tcPr>
            <w:tcW w:w="1319" w:type="dxa"/>
            <w:shd w:val="clear" w:color="auto" w:fill="auto"/>
          </w:tcPr>
          <w:p w14:paraId="125C59D6" w14:textId="77777777" w:rsidR="00390C4F" w:rsidRPr="007F282F" w:rsidRDefault="00390C4F" w:rsidP="00B20EF7">
            <w:pPr>
              <w:jc w:val="center"/>
              <w:rPr>
                <w:rFonts w:ascii="Helvetica" w:hAnsi="Helvetica" w:cs="Helvetica"/>
                <w:b/>
                <w:bCs/>
              </w:rPr>
            </w:pPr>
            <w:r w:rsidRPr="007F282F">
              <w:rPr>
                <w:rFonts w:ascii="Helvetica" w:hAnsi="Helvetica" w:cs="Helvetica"/>
                <w:b/>
                <w:bCs/>
              </w:rPr>
              <w:t>57.2%</w:t>
            </w:r>
          </w:p>
        </w:tc>
      </w:tr>
      <w:tr w:rsidR="00390C4F" w14:paraId="2DAC9AA8" w14:textId="77777777" w:rsidTr="007F282F">
        <w:tc>
          <w:tcPr>
            <w:tcW w:w="1477" w:type="dxa"/>
          </w:tcPr>
          <w:p w14:paraId="1F887F9D" w14:textId="77777777" w:rsidR="00390C4F" w:rsidRPr="007F282F" w:rsidRDefault="00390C4F" w:rsidP="00B20EF7">
            <w:pPr>
              <w:rPr>
                <w:rFonts w:ascii="Helvetica" w:hAnsi="Helvetica" w:cs="Helvetica"/>
              </w:rPr>
            </w:pPr>
            <w:r w:rsidRPr="007F282F">
              <w:rPr>
                <w:rFonts w:ascii="Helvetica" w:hAnsi="Helvetica" w:cs="Helvetica"/>
              </w:rPr>
              <w:t>Houses at risk of collapse</w:t>
            </w:r>
          </w:p>
        </w:tc>
        <w:tc>
          <w:tcPr>
            <w:tcW w:w="1313" w:type="dxa"/>
            <w:shd w:val="clear" w:color="auto" w:fill="auto"/>
          </w:tcPr>
          <w:p w14:paraId="52945DCF" w14:textId="77777777" w:rsidR="00390C4F" w:rsidRPr="007F282F" w:rsidRDefault="00390C4F" w:rsidP="00B20EF7">
            <w:pPr>
              <w:jc w:val="center"/>
              <w:rPr>
                <w:rFonts w:ascii="Helvetica" w:hAnsi="Helvetica" w:cs="Helvetica"/>
              </w:rPr>
            </w:pPr>
            <w:r w:rsidRPr="007F282F">
              <w:rPr>
                <w:rFonts w:ascii="Helvetica" w:hAnsi="Helvetica" w:cs="Helvetica"/>
              </w:rPr>
              <w:t>2.2%</w:t>
            </w:r>
          </w:p>
        </w:tc>
        <w:tc>
          <w:tcPr>
            <w:tcW w:w="1310" w:type="dxa"/>
            <w:shd w:val="clear" w:color="auto" w:fill="auto"/>
          </w:tcPr>
          <w:p w14:paraId="20DFBBBF" w14:textId="77777777" w:rsidR="00390C4F" w:rsidRPr="007F282F" w:rsidRDefault="00390C4F" w:rsidP="00B20EF7">
            <w:pPr>
              <w:jc w:val="center"/>
              <w:rPr>
                <w:rFonts w:ascii="Helvetica" w:hAnsi="Helvetica" w:cs="Helvetica"/>
                <w:b/>
                <w:bCs/>
              </w:rPr>
            </w:pPr>
            <w:r w:rsidRPr="007F282F">
              <w:rPr>
                <w:rFonts w:ascii="Helvetica" w:hAnsi="Helvetica" w:cs="Helvetica"/>
                <w:b/>
                <w:bCs/>
              </w:rPr>
              <w:t>3.4%</w:t>
            </w:r>
          </w:p>
        </w:tc>
        <w:tc>
          <w:tcPr>
            <w:tcW w:w="1310" w:type="dxa"/>
            <w:shd w:val="clear" w:color="auto" w:fill="auto"/>
          </w:tcPr>
          <w:p w14:paraId="4232574B" w14:textId="77777777" w:rsidR="00390C4F" w:rsidRPr="007F282F" w:rsidRDefault="00390C4F" w:rsidP="00B20EF7">
            <w:pPr>
              <w:jc w:val="center"/>
              <w:rPr>
                <w:rFonts w:ascii="Helvetica" w:hAnsi="Helvetica" w:cs="Helvetica"/>
                <w:b/>
                <w:bCs/>
              </w:rPr>
            </w:pPr>
            <w:r w:rsidRPr="007F282F">
              <w:rPr>
                <w:rFonts w:ascii="Helvetica" w:hAnsi="Helvetica" w:cs="Helvetica"/>
                <w:b/>
                <w:bCs/>
              </w:rPr>
              <w:t>3.1%</w:t>
            </w:r>
          </w:p>
        </w:tc>
        <w:tc>
          <w:tcPr>
            <w:tcW w:w="1291" w:type="dxa"/>
            <w:shd w:val="clear" w:color="auto" w:fill="auto"/>
          </w:tcPr>
          <w:p w14:paraId="204BA7F9" w14:textId="77777777" w:rsidR="00390C4F" w:rsidRPr="007F282F" w:rsidRDefault="00390C4F" w:rsidP="00B20EF7">
            <w:pPr>
              <w:jc w:val="center"/>
              <w:rPr>
                <w:rFonts w:ascii="Helvetica" w:hAnsi="Helvetica" w:cs="Helvetica"/>
                <w:b/>
                <w:bCs/>
              </w:rPr>
            </w:pPr>
            <w:r w:rsidRPr="007F282F">
              <w:rPr>
                <w:rFonts w:ascii="Helvetica" w:hAnsi="Helvetica" w:cs="Helvetica"/>
                <w:b/>
                <w:bCs/>
              </w:rPr>
              <w:t>2.8%</w:t>
            </w:r>
          </w:p>
        </w:tc>
        <w:tc>
          <w:tcPr>
            <w:tcW w:w="1330" w:type="dxa"/>
            <w:shd w:val="clear" w:color="auto" w:fill="auto"/>
          </w:tcPr>
          <w:p w14:paraId="1177B920" w14:textId="77777777" w:rsidR="00390C4F" w:rsidRPr="007F282F" w:rsidRDefault="00390C4F" w:rsidP="00B20EF7">
            <w:pPr>
              <w:jc w:val="center"/>
              <w:rPr>
                <w:rFonts w:ascii="Helvetica" w:hAnsi="Helvetica" w:cs="Helvetica"/>
                <w:b/>
                <w:bCs/>
              </w:rPr>
            </w:pPr>
            <w:r w:rsidRPr="007F282F">
              <w:rPr>
                <w:rFonts w:ascii="Helvetica" w:hAnsi="Helvetica" w:cs="Helvetica"/>
                <w:b/>
                <w:bCs/>
              </w:rPr>
              <w:t>2.5%</w:t>
            </w:r>
          </w:p>
        </w:tc>
        <w:tc>
          <w:tcPr>
            <w:tcW w:w="1319" w:type="dxa"/>
            <w:shd w:val="clear" w:color="auto" w:fill="auto"/>
          </w:tcPr>
          <w:p w14:paraId="3905C6E9" w14:textId="77777777" w:rsidR="00390C4F" w:rsidRPr="007F282F" w:rsidRDefault="00390C4F" w:rsidP="00B20EF7">
            <w:pPr>
              <w:jc w:val="center"/>
              <w:rPr>
                <w:rFonts w:ascii="Helvetica" w:hAnsi="Helvetica" w:cs="Helvetica"/>
                <w:b/>
                <w:bCs/>
              </w:rPr>
            </w:pPr>
            <w:r w:rsidRPr="007F282F">
              <w:rPr>
                <w:rFonts w:ascii="Helvetica" w:hAnsi="Helvetica" w:cs="Helvetica"/>
                <w:b/>
                <w:bCs/>
              </w:rPr>
              <w:t>4.9%</w:t>
            </w:r>
          </w:p>
        </w:tc>
      </w:tr>
      <w:tr w:rsidR="00390C4F" w14:paraId="2F4280E7" w14:textId="77777777" w:rsidTr="007F282F">
        <w:tc>
          <w:tcPr>
            <w:tcW w:w="1477" w:type="dxa"/>
          </w:tcPr>
          <w:p w14:paraId="51B5F9D8" w14:textId="77777777" w:rsidR="00390C4F" w:rsidRPr="007F282F" w:rsidRDefault="00390C4F" w:rsidP="00B20EF7">
            <w:pPr>
              <w:rPr>
                <w:rFonts w:ascii="Helvetica" w:hAnsi="Helvetica" w:cs="Helvetica"/>
              </w:rPr>
            </w:pPr>
            <w:r w:rsidRPr="007F282F">
              <w:rPr>
                <w:rFonts w:ascii="Helvetica" w:hAnsi="Helvetica" w:cs="Helvetica"/>
              </w:rPr>
              <w:t>Overcrowding UN Habitat</w:t>
            </w:r>
            <w:r w:rsidRPr="007F282F">
              <w:rPr>
                <w:rStyle w:val="Rimandonotaapidipagina"/>
                <w:rFonts w:ascii="Helvetica" w:hAnsi="Helvetica" w:cs="Helvetica"/>
              </w:rPr>
              <w:footnoteReference w:id="21"/>
            </w:r>
          </w:p>
        </w:tc>
        <w:tc>
          <w:tcPr>
            <w:tcW w:w="1313" w:type="dxa"/>
            <w:shd w:val="clear" w:color="auto" w:fill="auto"/>
          </w:tcPr>
          <w:p w14:paraId="4D3EB300" w14:textId="77777777" w:rsidR="00390C4F" w:rsidRPr="007F282F" w:rsidRDefault="00390C4F" w:rsidP="00B20EF7">
            <w:pPr>
              <w:jc w:val="center"/>
              <w:rPr>
                <w:rFonts w:ascii="Helvetica" w:hAnsi="Helvetica" w:cs="Helvetica"/>
              </w:rPr>
            </w:pPr>
            <w:r w:rsidRPr="007F282F">
              <w:rPr>
                <w:rFonts w:ascii="Helvetica" w:hAnsi="Helvetica" w:cs="Helvetica"/>
              </w:rPr>
              <w:t>1.7%</w:t>
            </w:r>
          </w:p>
        </w:tc>
        <w:tc>
          <w:tcPr>
            <w:tcW w:w="1310" w:type="dxa"/>
            <w:shd w:val="clear" w:color="auto" w:fill="auto"/>
          </w:tcPr>
          <w:p w14:paraId="7965F78A" w14:textId="77777777" w:rsidR="00390C4F" w:rsidRPr="007F282F" w:rsidRDefault="00390C4F" w:rsidP="00B20EF7">
            <w:pPr>
              <w:jc w:val="center"/>
              <w:rPr>
                <w:rFonts w:ascii="Helvetica" w:hAnsi="Helvetica" w:cs="Helvetica"/>
              </w:rPr>
            </w:pPr>
            <w:r w:rsidRPr="007F282F">
              <w:rPr>
                <w:rFonts w:ascii="Helvetica" w:hAnsi="Helvetica" w:cs="Helvetica"/>
              </w:rPr>
              <w:t>0.8%</w:t>
            </w:r>
          </w:p>
        </w:tc>
        <w:tc>
          <w:tcPr>
            <w:tcW w:w="1310" w:type="dxa"/>
            <w:shd w:val="clear" w:color="auto" w:fill="auto"/>
          </w:tcPr>
          <w:p w14:paraId="57D66297" w14:textId="77777777" w:rsidR="00390C4F" w:rsidRPr="007F282F" w:rsidRDefault="00390C4F" w:rsidP="00B20EF7">
            <w:pPr>
              <w:jc w:val="center"/>
              <w:rPr>
                <w:rFonts w:ascii="Helvetica" w:hAnsi="Helvetica" w:cs="Helvetica"/>
                <w:b/>
                <w:bCs/>
              </w:rPr>
            </w:pPr>
            <w:r w:rsidRPr="007F282F">
              <w:rPr>
                <w:rFonts w:ascii="Helvetica" w:hAnsi="Helvetica" w:cs="Helvetica"/>
                <w:b/>
                <w:bCs/>
              </w:rPr>
              <w:t>1.8%</w:t>
            </w:r>
          </w:p>
        </w:tc>
        <w:tc>
          <w:tcPr>
            <w:tcW w:w="1291" w:type="dxa"/>
            <w:shd w:val="clear" w:color="auto" w:fill="auto"/>
          </w:tcPr>
          <w:p w14:paraId="569125A1" w14:textId="77777777" w:rsidR="00390C4F" w:rsidRPr="007F282F" w:rsidRDefault="00390C4F" w:rsidP="00B20EF7">
            <w:pPr>
              <w:tabs>
                <w:tab w:val="left" w:pos="1008"/>
              </w:tabs>
              <w:jc w:val="center"/>
              <w:rPr>
                <w:rFonts w:ascii="Helvetica" w:hAnsi="Helvetica" w:cs="Helvetica"/>
                <w:b/>
                <w:bCs/>
              </w:rPr>
            </w:pPr>
            <w:r w:rsidRPr="007F282F">
              <w:rPr>
                <w:rFonts w:ascii="Helvetica" w:hAnsi="Helvetica" w:cs="Helvetica"/>
                <w:b/>
                <w:bCs/>
              </w:rPr>
              <w:t>5.2%</w:t>
            </w:r>
          </w:p>
        </w:tc>
        <w:tc>
          <w:tcPr>
            <w:tcW w:w="1330" w:type="dxa"/>
            <w:shd w:val="clear" w:color="auto" w:fill="auto"/>
          </w:tcPr>
          <w:p w14:paraId="195D651C" w14:textId="77777777" w:rsidR="00390C4F" w:rsidRPr="007F282F" w:rsidRDefault="00390C4F" w:rsidP="00B20EF7">
            <w:pPr>
              <w:jc w:val="center"/>
              <w:rPr>
                <w:rFonts w:ascii="Helvetica" w:hAnsi="Helvetica" w:cs="Helvetica"/>
              </w:rPr>
            </w:pPr>
            <w:r w:rsidRPr="007F282F">
              <w:rPr>
                <w:rFonts w:ascii="Helvetica" w:hAnsi="Helvetica" w:cs="Helvetica"/>
              </w:rPr>
              <w:t>1.1%</w:t>
            </w:r>
          </w:p>
        </w:tc>
        <w:tc>
          <w:tcPr>
            <w:tcW w:w="1319" w:type="dxa"/>
            <w:shd w:val="clear" w:color="auto" w:fill="auto"/>
          </w:tcPr>
          <w:p w14:paraId="2EFCB1EC" w14:textId="77777777" w:rsidR="00390C4F" w:rsidRPr="007F282F" w:rsidRDefault="00390C4F" w:rsidP="00B20EF7">
            <w:pPr>
              <w:tabs>
                <w:tab w:val="left" w:pos="696"/>
                <w:tab w:val="left" w:pos="738"/>
              </w:tabs>
              <w:jc w:val="center"/>
              <w:rPr>
                <w:rFonts w:ascii="Helvetica" w:hAnsi="Helvetica" w:cs="Helvetica"/>
                <w:b/>
                <w:bCs/>
              </w:rPr>
            </w:pPr>
            <w:r w:rsidRPr="007F282F">
              <w:rPr>
                <w:rFonts w:ascii="Helvetica" w:hAnsi="Helvetica" w:cs="Helvetica"/>
                <w:b/>
                <w:bCs/>
              </w:rPr>
              <w:t>2.6%</w:t>
            </w:r>
          </w:p>
        </w:tc>
      </w:tr>
      <w:tr w:rsidR="00390C4F" w:rsidRPr="00FC491C" w14:paraId="3A21E6A6" w14:textId="77777777" w:rsidTr="007F282F">
        <w:tc>
          <w:tcPr>
            <w:tcW w:w="9350" w:type="dxa"/>
            <w:gridSpan w:val="7"/>
            <w:shd w:val="clear" w:color="auto" w:fill="auto"/>
          </w:tcPr>
          <w:p w14:paraId="2557F36A" w14:textId="77777777" w:rsidR="00390C4F" w:rsidRPr="007F282F" w:rsidRDefault="00390C4F" w:rsidP="00B20EF7">
            <w:pPr>
              <w:jc w:val="center"/>
              <w:rPr>
                <w:rFonts w:ascii="Helvetica" w:hAnsi="Helvetica" w:cs="Helvetica"/>
                <w:b/>
                <w:bCs/>
              </w:rPr>
            </w:pPr>
            <w:r w:rsidRPr="007F282F">
              <w:rPr>
                <w:rFonts w:ascii="Helvetica" w:hAnsi="Helvetica" w:cs="Helvetica"/>
                <w:b/>
                <w:bCs/>
              </w:rPr>
              <w:t>Rural areas</w:t>
            </w:r>
          </w:p>
        </w:tc>
      </w:tr>
      <w:tr w:rsidR="00390C4F" w14:paraId="2E372AD5" w14:textId="77777777" w:rsidTr="007F282F">
        <w:tc>
          <w:tcPr>
            <w:tcW w:w="1477" w:type="dxa"/>
          </w:tcPr>
          <w:p w14:paraId="419A5089" w14:textId="49BD6A7E" w:rsidR="00390C4F" w:rsidRPr="007F282F" w:rsidRDefault="00390C4F" w:rsidP="00B20EF7">
            <w:pPr>
              <w:rPr>
                <w:rFonts w:ascii="Helvetica" w:hAnsi="Helvetica" w:cs="Helvetica"/>
              </w:rPr>
            </w:pPr>
            <w:r w:rsidRPr="007F282F">
              <w:rPr>
                <w:rFonts w:ascii="Helvetica" w:hAnsi="Helvetica" w:cs="Helvetica"/>
              </w:rPr>
              <w:t>Unaffordability</w:t>
            </w:r>
          </w:p>
        </w:tc>
        <w:tc>
          <w:tcPr>
            <w:tcW w:w="1313" w:type="dxa"/>
            <w:shd w:val="clear" w:color="auto" w:fill="auto"/>
          </w:tcPr>
          <w:p w14:paraId="581076A1" w14:textId="77777777" w:rsidR="00390C4F" w:rsidRPr="007F282F" w:rsidRDefault="00390C4F" w:rsidP="00B20EF7">
            <w:pPr>
              <w:jc w:val="center"/>
              <w:rPr>
                <w:rFonts w:ascii="Helvetica" w:hAnsi="Helvetica" w:cs="Helvetica"/>
                <w:color w:val="000000"/>
              </w:rPr>
            </w:pPr>
            <w:r w:rsidRPr="007F282F">
              <w:rPr>
                <w:rFonts w:ascii="Helvetica" w:hAnsi="Helvetica" w:cs="Helvetica"/>
                <w:color w:val="000000"/>
              </w:rPr>
              <w:t>3.57%</w:t>
            </w:r>
          </w:p>
        </w:tc>
        <w:tc>
          <w:tcPr>
            <w:tcW w:w="1310" w:type="dxa"/>
            <w:shd w:val="clear" w:color="auto" w:fill="auto"/>
          </w:tcPr>
          <w:p w14:paraId="0AA3D6AF" w14:textId="77777777" w:rsidR="00390C4F" w:rsidRPr="007F282F" w:rsidRDefault="00390C4F" w:rsidP="00B20EF7">
            <w:pPr>
              <w:tabs>
                <w:tab w:val="left" w:pos="798"/>
              </w:tabs>
              <w:jc w:val="center"/>
              <w:rPr>
                <w:rFonts w:ascii="Helvetica" w:hAnsi="Helvetica" w:cs="Helvetica"/>
                <w:b/>
                <w:bCs/>
              </w:rPr>
            </w:pPr>
            <w:r w:rsidRPr="007F282F">
              <w:rPr>
                <w:rFonts w:ascii="Helvetica" w:hAnsi="Helvetica" w:cs="Helvetica"/>
                <w:b/>
                <w:bCs/>
              </w:rPr>
              <w:t>9.36%</w:t>
            </w:r>
          </w:p>
        </w:tc>
        <w:tc>
          <w:tcPr>
            <w:tcW w:w="1310" w:type="dxa"/>
            <w:shd w:val="clear" w:color="auto" w:fill="auto"/>
          </w:tcPr>
          <w:p w14:paraId="4A6FA308" w14:textId="77777777" w:rsidR="00390C4F" w:rsidRPr="007F282F" w:rsidRDefault="00390C4F" w:rsidP="00B20EF7">
            <w:pPr>
              <w:jc w:val="center"/>
              <w:rPr>
                <w:rFonts w:ascii="Helvetica" w:hAnsi="Helvetica" w:cs="Helvetica"/>
              </w:rPr>
            </w:pPr>
            <w:r w:rsidRPr="007F282F">
              <w:rPr>
                <w:rFonts w:ascii="Helvetica" w:hAnsi="Helvetica" w:cs="Helvetica"/>
              </w:rPr>
              <w:t>3.4%</w:t>
            </w:r>
          </w:p>
        </w:tc>
        <w:tc>
          <w:tcPr>
            <w:tcW w:w="1291" w:type="dxa"/>
            <w:shd w:val="clear" w:color="auto" w:fill="auto"/>
          </w:tcPr>
          <w:p w14:paraId="37CE513C" w14:textId="77777777" w:rsidR="00390C4F" w:rsidRPr="007F282F" w:rsidRDefault="00390C4F" w:rsidP="00B20EF7">
            <w:pPr>
              <w:jc w:val="center"/>
              <w:rPr>
                <w:rFonts w:ascii="Helvetica" w:hAnsi="Helvetica" w:cs="Helvetica"/>
                <w:color w:val="000000"/>
              </w:rPr>
            </w:pPr>
            <w:r w:rsidRPr="007F282F">
              <w:rPr>
                <w:rFonts w:ascii="Helvetica" w:hAnsi="Helvetica" w:cs="Helvetica"/>
                <w:color w:val="000000"/>
              </w:rPr>
              <w:t>1.7%</w:t>
            </w:r>
          </w:p>
        </w:tc>
        <w:tc>
          <w:tcPr>
            <w:tcW w:w="1330" w:type="dxa"/>
            <w:shd w:val="clear" w:color="auto" w:fill="auto"/>
          </w:tcPr>
          <w:p w14:paraId="010F30C9" w14:textId="77777777" w:rsidR="00390C4F" w:rsidRPr="007F282F" w:rsidRDefault="00390C4F" w:rsidP="00B20EF7">
            <w:pPr>
              <w:jc w:val="center"/>
              <w:rPr>
                <w:rFonts w:ascii="Helvetica" w:hAnsi="Helvetica" w:cs="Helvetica"/>
                <w:b/>
                <w:bCs/>
                <w:color w:val="000000"/>
              </w:rPr>
            </w:pPr>
            <w:r w:rsidRPr="007F282F">
              <w:rPr>
                <w:rFonts w:ascii="Helvetica" w:hAnsi="Helvetica" w:cs="Helvetica"/>
                <w:b/>
                <w:bCs/>
                <w:color w:val="000000"/>
              </w:rPr>
              <w:t>3.6%</w:t>
            </w:r>
          </w:p>
        </w:tc>
        <w:tc>
          <w:tcPr>
            <w:tcW w:w="1319" w:type="dxa"/>
            <w:shd w:val="clear" w:color="auto" w:fill="auto"/>
          </w:tcPr>
          <w:p w14:paraId="3ECF3529" w14:textId="77777777" w:rsidR="00390C4F" w:rsidRPr="007F282F" w:rsidRDefault="00390C4F" w:rsidP="00B20EF7">
            <w:pPr>
              <w:jc w:val="center"/>
              <w:rPr>
                <w:rFonts w:ascii="Helvetica" w:hAnsi="Helvetica" w:cs="Helvetica"/>
                <w:color w:val="000000"/>
              </w:rPr>
            </w:pPr>
            <w:r w:rsidRPr="007F282F">
              <w:rPr>
                <w:rFonts w:ascii="Helvetica" w:hAnsi="Helvetica" w:cs="Helvetica"/>
                <w:color w:val="000000"/>
              </w:rPr>
              <w:t>2.5%</w:t>
            </w:r>
          </w:p>
        </w:tc>
      </w:tr>
      <w:tr w:rsidR="00390C4F" w14:paraId="654E1009" w14:textId="77777777" w:rsidTr="007F282F">
        <w:tc>
          <w:tcPr>
            <w:tcW w:w="1477" w:type="dxa"/>
          </w:tcPr>
          <w:p w14:paraId="1572F085" w14:textId="212C9D29" w:rsidR="00390C4F" w:rsidRPr="007F282F" w:rsidRDefault="00390C4F" w:rsidP="00B20EF7">
            <w:pPr>
              <w:rPr>
                <w:rFonts w:ascii="Helvetica" w:hAnsi="Helvetica" w:cs="Helvetica"/>
              </w:rPr>
            </w:pPr>
            <w:r w:rsidRPr="007F282F">
              <w:rPr>
                <w:rFonts w:ascii="Helvetica" w:hAnsi="Helvetica" w:cs="Helvetica"/>
              </w:rPr>
              <w:t>Unfit houses</w:t>
            </w:r>
          </w:p>
        </w:tc>
        <w:tc>
          <w:tcPr>
            <w:tcW w:w="1313" w:type="dxa"/>
            <w:shd w:val="clear" w:color="auto" w:fill="auto"/>
          </w:tcPr>
          <w:p w14:paraId="7581C833" w14:textId="77777777" w:rsidR="00390C4F" w:rsidRPr="007F282F" w:rsidRDefault="00390C4F" w:rsidP="00B20EF7">
            <w:pPr>
              <w:jc w:val="center"/>
              <w:rPr>
                <w:rFonts w:ascii="Helvetica" w:hAnsi="Helvetica" w:cs="Helvetica"/>
              </w:rPr>
            </w:pPr>
            <w:r w:rsidRPr="007F282F">
              <w:rPr>
                <w:rFonts w:ascii="Helvetica" w:hAnsi="Helvetica" w:cs="Helvetica"/>
              </w:rPr>
              <w:t>51.7%</w:t>
            </w:r>
          </w:p>
        </w:tc>
        <w:tc>
          <w:tcPr>
            <w:tcW w:w="1310" w:type="dxa"/>
            <w:shd w:val="clear" w:color="auto" w:fill="auto"/>
          </w:tcPr>
          <w:p w14:paraId="0EEA3AFA" w14:textId="77777777" w:rsidR="00390C4F" w:rsidRPr="007F282F" w:rsidRDefault="00390C4F" w:rsidP="00B20EF7">
            <w:pPr>
              <w:jc w:val="center"/>
              <w:rPr>
                <w:rFonts w:ascii="Helvetica" w:hAnsi="Helvetica" w:cs="Helvetica"/>
                <w:b/>
                <w:bCs/>
              </w:rPr>
            </w:pPr>
            <w:r w:rsidRPr="007F282F">
              <w:rPr>
                <w:rFonts w:ascii="Helvetica" w:hAnsi="Helvetica" w:cs="Helvetica"/>
                <w:b/>
                <w:bCs/>
              </w:rPr>
              <w:t>64.3%</w:t>
            </w:r>
          </w:p>
        </w:tc>
        <w:tc>
          <w:tcPr>
            <w:tcW w:w="1310" w:type="dxa"/>
            <w:shd w:val="clear" w:color="auto" w:fill="auto"/>
          </w:tcPr>
          <w:p w14:paraId="4AE53268" w14:textId="77777777" w:rsidR="00390C4F" w:rsidRPr="007F282F" w:rsidRDefault="00390C4F" w:rsidP="00B20EF7">
            <w:pPr>
              <w:jc w:val="center"/>
              <w:rPr>
                <w:rFonts w:ascii="Helvetica" w:hAnsi="Helvetica" w:cs="Helvetica"/>
                <w:b/>
                <w:bCs/>
              </w:rPr>
            </w:pPr>
            <w:r w:rsidRPr="007F282F">
              <w:rPr>
                <w:rFonts w:ascii="Helvetica" w:hAnsi="Helvetica" w:cs="Helvetica"/>
                <w:b/>
                <w:bCs/>
              </w:rPr>
              <w:t>56.2%</w:t>
            </w:r>
          </w:p>
        </w:tc>
        <w:tc>
          <w:tcPr>
            <w:tcW w:w="1291" w:type="dxa"/>
            <w:shd w:val="clear" w:color="auto" w:fill="auto"/>
          </w:tcPr>
          <w:p w14:paraId="55CB925A" w14:textId="77777777" w:rsidR="00390C4F" w:rsidRPr="007F282F" w:rsidRDefault="00390C4F" w:rsidP="00B20EF7">
            <w:pPr>
              <w:jc w:val="center"/>
              <w:rPr>
                <w:rFonts w:ascii="Helvetica" w:hAnsi="Helvetica" w:cs="Helvetica"/>
              </w:rPr>
            </w:pPr>
            <w:r w:rsidRPr="007F282F">
              <w:rPr>
                <w:rFonts w:ascii="Helvetica" w:hAnsi="Helvetica" w:cs="Helvetica"/>
              </w:rPr>
              <w:t>43.8%</w:t>
            </w:r>
          </w:p>
        </w:tc>
        <w:tc>
          <w:tcPr>
            <w:tcW w:w="1330" w:type="dxa"/>
            <w:shd w:val="clear" w:color="auto" w:fill="auto"/>
          </w:tcPr>
          <w:p w14:paraId="7DBA66FA" w14:textId="77777777" w:rsidR="00390C4F" w:rsidRPr="007F282F" w:rsidRDefault="00390C4F" w:rsidP="00B20EF7">
            <w:pPr>
              <w:jc w:val="center"/>
              <w:rPr>
                <w:rFonts w:ascii="Helvetica" w:hAnsi="Helvetica" w:cs="Helvetica"/>
                <w:b/>
                <w:bCs/>
              </w:rPr>
            </w:pPr>
            <w:r w:rsidRPr="007F282F">
              <w:rPr>
                <w:rFonts w:ascii="Helvetica" w:hAnsi="Helvetica" w:cs="Helvetica"/>
                <w:b/>
                <w:bCs/>
              </w:rPr>
              <w:t>54%</w:t>
            </w:r>
          </w:p>
        </w:tc>
        <w:tc>
          <w:tcPr>
            <w:tcW w:w="1319" w:type="dxa"/>
            <w:shd w:val="clear" w:color="auto" w:fill="auto"/>
          </w:tcPr>
          <w:p w14:paraId="730D6E51" w14:textId="77777777" w:rsidR="00390C4F" w:rsidRPr="007F282F" w:rsidRDefault="00390C4F" w:rsidP="00B20EF7">
            <w:pPr>
              <w:jc w:val="center"/>
              <w:rPr>
                <w:rFonts w:ascii="Helvetica" w:hAnsi="Helvetica" w:cs="Helvetica"/>
                <w:b/>
                <w:bCs/>
              </w:rPr>
            </w:pPr>
            <w:r w:rsidRPr="007F282F">
              <w:rPr>
                <w:rFonts w:ascii="Helvetica" w:hAnsi="Helvetica" w:cs="Helvetica"/>
                <w:b/>
                <w:bCs/>
              </w:rPr>
              <w:t>58.7%</w:t>
            </w:r>
          </w:p>
        </w:tc>
      </w:tr>
      <w:tr w:rsidR="00390C4F" w14:paraId="1F2B074B" w14:textId="77777777" w:rsidTr="00B20EF7">
        <w:tc>
          <w:tcPr>
            <w:tcW w:w="1477" w:type="dxa"/>
          </w:tcPr>
          <w:p w14:paraId="7ECA17C9" w14:textId="77777777" w:rsidR="00390C4F" w:rsidRPr="007F282F" w:rsidRDefault="00390C4F" w:rsidP="00B20EF7">
            <w:pPr>
              <w:rPr>
                <w:rFonts w:ascii="Helvetica" w:hAnsi="Helvetica" w:cs="Helvetica"/>
              </w:rPr>
            </w:pPr>
            <w:r w:rsidRPr="007F282F">
              <w:rPr>
                <w:rFonts w:ascii="Helvetica" w:hAnsi="Helvetica" w:cs="Helvetica"/>
              </w:rPr>
              <w:t>Houses at risk of collapse</w:t>
            </w:r>
          </w:p>
        </w:tc>
        <w:tc>
          <w:tcPr>
            <w:tcW w:w="1313" w:type="dxa"/>
          </w:tcPr>
          <w:p w14:paraId="29FF7727" w14:textId="77777777" w:rsidR="00390C4F" w:rsidRPr="007F282F" w:rsidRDefault="00390C4F" w:rsidP="00B20EF7">
            <w:pPr>
              <w:jc w:val="center"/>
              <w:rPr>
                <w:rFonts w:ascii="Helvetica" w:hAnsi="Helvetica" w:cs="Helvetica"/>
              </w:rPr>
            </w:pPr>
            <w:r w:rsidRPr="007F282F">
              <w:rPr>
                <w:rFonts w:ascii="Helvetica" w:hAnsi="Helvetica" w:cs="Helvetica"/>
              </w:rPr>
              <w:t>5.1%</w:t>
            </w:r>
          </w:p>
        </w:tc>
        <w:tc>
          <w:tcPr>
            <w:tcW w:w="1310" w:type="dxa"/>
          </w:tcPr>
          <w:p w14:paraId="488AD3D5" w14:textId="77777777" w:rsidR="00390C4F" w:rsidRPr="007F282F" w:rsidRDefault="00390C4F" w:rsidP="00B20EF7">
            <w:pPr>
              <w:jc w:val="center"/>
              <w:rPr>
                <w:rFonts w:ascii="Helvetica" w:hAnsi="Helvetica" w:cs="Helvetica"/>
                <w:b/>
                <w:bCs/>
              </w:rPr>
            </w:pPr>
            <w:r w:rsidRPr="007F282F">
              <w:rPr>
                <w:rFonts w:ascii="Helvetica" w:hAnsi="Helvetica" w:cs="Helvetica"/>
                <w:b/>
                <w:bCs/>
              </w:rPr>
              <w:t>9.18%</w:t>
            </w:r>
          </w:p>
        </w:tc>
        <w:tc>
          <w:tcPr>
            <w:tcW w:w="1310" w:type="dxa"/>
          </w:tcPr>
          <w:p w14:paraId="10ED62DB" w14:textId="77777777" w:rsidR="00390C4F" w:rsidRPr="007F282F" w:rsidRDefault="00390C4F" w:rsidP="00B20EF7">
            <w:pPr>
              <w:jc w:val="center"/>
              <w:rPr>
                <w:rFonts w:ascii="Helvetica" w:hAnsi="Helvetica" w:cs="Helvetica"/>
              </w:rPr>
            </w:pPr>
            <w:r w:rsidRPr="007F282F">
              <w:rPr>
                <w:rFonts w:ascii="Helvetica" w:hAnsi="Helvetica" w:cs="Helvetica"/>
              </w:rPr>
              <w:t>4.8%</w:t>
            </w:r>
          </w:p>
        </w:tc>
        <w:tc>
          <w:tcPr>
            <w:tcW w:w="1291" w:type="dxa"/>
          </w:tcPr>
          <w:p w14:paraId="7DF6222E" w14:textId="77777777" w:rsidR="00390C4F" w:rsidRPr="007F282F" w:rsidRDefault="00390C4F" w:rsidP="00B20EF7">
            <w:pPr>
              <w:jc w:val="center"/>
              <w:rPr>
                <w:rFonts w:ascii="Helvetica" w:hAnsi="Helvetica" w:cs="Helvetica"/>
              </w:rPr>
            </w:pPr>
            <w:r w:rsidRPr="007F282F">
              <w:rPr>
                <w:rFonts w:ascii="Helvetica" w:hAnsi="Helvetica" w:cs="Helvetica"/>
              </w:rPr>
              <w:t>3.4%</w:t>
            </w:r>
          </w:p>
        </w:tc>
        <w:tc>
          <w:tcPr>
            <w:tcW w:w="1330" w:type="dxa"/>
          </w:tcPr>
          <w:p w14:paraId="668A2882" w14:textId="77777777" w:rsidR="00390C4F" w:rsidRPr="007F282F" w:rsidRDefault="00390C4F" w:rsidP="00B20EF7">
            <w:pPr>
              <w:tabs>
                <w:tab w:val="left" w:pos="876"/>
              </w:tabs>
              <w:jc w:val="center"/>
              <w:rPr>
                <w:rFonts w:ascii="Helvetica" w:hAnsi="Helvetica" w:cs="Helvetica"/>
                <w:b/>
                <w:bCs/>
              </w:rPr>
            </w:pPr>
            <w:r w:rsidRPr="007F282F">
              <w:rPr>
                <w:rFonts w:ascii="Helvetica" w:hAnsi="Helvetica" w:cs="Helvetica"/>
                <w:b/>
                <w:bCs/>
              </w:rPr>
              <w:t>6.43%</w:t>
            </w:r>
          </w:p>
        </w:tc>
        <w:tc>
          <w:tcPr>
            <w:tcW w:w="1319" w:type="dxa"/>
          </w:tcPr>
          <w:p w14:paraId="5D40EF59" w14:textId="77777777" w:rsidR="00390C4F" w:rsidRPr="007F282F" w:rsidRDefault="00390C4F" w:rsidP="00B20EF7">
            <w:pPr>
              <w:tabs>
                <w:tab w:val="left" w:pos="948"/>
              </w:tabs>
              <w:jc w:val="center"/>
              <w:rPr>
                <w:rFonts w:ascii="Helvetica" w:hAnsi="Helvetica" w:cs="Helvetica"/>
                <w:b/>
                <w:bCs/>
              </w:rPr>
            </w:pPr>
            <w:r w:rsidRPr="007F282F">
              <w:rPr>
                <w:rFonts w:ascii="Helvetica" w:hAnsi="Helvetica" w:cs="Helvetica"/>
                <w:b/>
                <w:bCs/>
              </w:rPr>
              <w:t>7.5%</w:t>
            </w:r>
          </w:p>
        </w:tc>
      </w:tr>
      <w:tr w:rsidR="00390C4F" w14:paraId="06F3698D" w14:textId="77777777" w:rsidTr="00B20EF7">
        <w:tc>
          <w:tcPr>
            <w:tcW w:w="1477" w:type="dxa"/>
          </w:tcPr>
          <w:p w14:paraId="50C3998B" w14:textId="5A0797CF" w:rsidR="00390C4F" w:rsidRPr="007F282F" w:rsidRDefault="00390C4F" w:rsidP="00B20EF7">
            <w:pPr>
              <w:rPr>
                <w:rFonts w:ascii="Helvetica" w:hAnsi="Helvetica" w:cs="Helvetica"/>
              </w:rPr>
            </w:pPr>
            <w:r w:rsidRPr="007F282F">
              <w:rPr>
                <w:rFonts w:ascii="Helvetica" w:hAnsi="Helvetica" w:cs="Helvetica"/>
              </w:rPr>
              <w:t>Overcrowding UN Habitat</w:t>
            </w:r>
          </w:p>
        </w:tc>
        <w:tc>
          <w:tcPr>
            <w:tcW w:w="1313" w:type="dxa"/>
          </w:tcPr>
          <w:p w14:paraId="7AE64667" w14:textId="77777777" w:rsidR="00390C4F" w:rsidRPr="007F282F" w:rsidRDefault="00390C4F" w:rsidP="00B20EF7">
            <w:pPr>
              <w:tabs>
                <w:tab w:val="left" w:pos="990"/>
              </w:tabs>
              <w:jc w:val="center"/>
              <w:rPr>
                <w:rFonts w:ascii="Helvetica" w:hAnsi="Helvetica" w:cs="Helvetica"/>
              </w:rPr>
            </w:pPr>
            <w:r w:rsidRPr="007F282F">
              <w:rPr>
                <w:rFonts w:ascii="Helvetica" w:hAnsi="Helvetica" w:cs="Helvetica"/>
              </w:rPr>
              <w:t>0.5%</w:t>
            </w:r>
          </w:p>
        </w:tc>
        <w:tc>
          <w:tcPr>
            <w:tcW w:w="1310" w:type="dxa"/>
          </w:tcPr>
          <w:p w14:paraId="6F27E69C" w14:textId="77777777" w:rsidR="00390C4F" w:rsidRPr="007F282F" w:rsidRDefault="00390C4F" w:rsidP="00B20EF7">
            <w:pPr>
              <w:jc w:val="center"/>
              <w:rPr>
                <w:rFonts w:ascii="Helvetica" w:hAnsi="Helvetica" w:cs="Helvetica"/>
              </w:rPr>
            </w:pPr>
            <w:r w:rsidRPr="007F282F">
              <w:rPr>
                <w:rFonts w:ascii="Helvetica" w:hAnsi="Helvetica" w:cs="Helvetica"/>
              </w:rPr>
              <w:t>0.1%</w:t>
            </w:r>
          </w:p>
        </w:tc>
        <w:tc>
          <w:tcPr>
            <w:tcW w:w="1310" w:type="dxa"/>
          </w:tcPr>
          <w:p w14:paraId="68C6DEFD" w14:textId="77777777" w:rsidR="00390C4F" w:rsidRPr="007F282F" w:rsidRDefault="00390C4F" w:rsidP="00B20EF7">
            <w:pPr>
              <w:jc w:val="center"/>
              <w:rPr>
                <w:rFonts w:ascii="Helvetica" w:hAnsi="Helvetica" w:cs="Helvetica"/>
                <w:b/>
                <w:bCs/>
              </w:rPr>
            </w:pPr>
            <w:r w:rsidRPr="007F282F">
              <w:rPr>
                <w:rFonts w:ascii="Helvetica" w:hAnsi="Helvetica" w:cs="Helvetica"/>
                <w:b/>
                <w:bCs/>
              </w:rPr>
              <w:t>0.5%</w:t>
            </w:r>
          </w:p>
        </w:tc>
        <w:tc>
          <w:tcPr>
            <w:tcW w:w="1291" w:type="dxa"/>
          </w:tcPr>
          <w:p w14:paraId="3065748A" w14:textId="77777777" w:rsidR="00390C4F" w:rsidRPr="007F282F" w:rsidRDefault="00390C4F" w:rsidP="00B20EF7">
            <w:pPr>
              <w:jc w:val="center"/>
              <w:rPr>
                <w:rFonts w:ascii="Helvetica" w:hAnsi="Helvetica" w:cs="Helvetica"/>
                <w:b/>
                <w:bCs/>
              </w:rPr>
            </w:pPr>
            <w:r w:rsidRPr="007F282F">
              <w:rPr>
                <w:rFonts w:ascii="Helvetica" w:hAnsi="Helvetica" w:cs="Helvetica"/>
                <w:b/>
                <w:bCs/>
              </w:rPr>
              <w:t>1.5%</w:t>
            </w:r>
          </w:p>
        </w:tc>
        <w:tc>
          <w:tcPr>
            <w:tcW w:w="1330" w:type="dxa"/>
          </w:tcPr>
          <w:p w14:paraId="3F34A9CD" w14:textId="77777777" w:rsidR="00390C4F" w:rsidRPr="007F282F" w:rsidRDefault="00390C4F" w:rsidP="00B20EF7">
            <w:pPr>
              <w:jc w:val="center"/>
              <w:rPr>
                <w:rFonts w:ascii="Helvetica" w:hAnsi="Helvetica" w:cs="Helvetica"/>
              </w:rPr>
            </w:pPr>
            <w:r w:rsidRPr="007F282F">
              <w:rPr>
                <w:rFonts w:ascii="Helvetica" w:hAnsi="Helvetica" w:cs="Helvetica"/>
              </w:rPr>
              <w:t>0.1%</w:t>
            </w:r>
          </w:p>
        </w:tc>
        <w:tc>
          <w:tcPr>
            <w:tcW w:w="1319" w:type="dxa"/>
          </w:tcPr>
          <w:p w14:paraId="6262E4E1" w14:textId="77777777" w:rsidR="00390C4F" w:rsidRPr="007F282F" w:rsidRDefault="00390C4F" w:rsidP="00B20EF7">
            <w:pPr>
              <w:jc w:val="center"/>
              <w:rPr>
                <w:rFonts w:ascii="Helvetica" w:hAnsi="Helvetica" w:cs="Helvetica"/>
              </w:rPr>
            </w:pPr>
            <w:r w:rsidRPr="007F282F">
              <w:rPr>
                <w:rFonts w:ascii="Helvetica" w:hAnsi="Helvetica" w:cs="Helvetica"/>
              </w:rPr>
              <w:t>0.3%</w:t>
            </w:r>
          </w:p>
        </w:tc>
      </w:tr>
    </w:tbl>
    <w:p w14:paraId="3E0B6EAF" w14:textId="73991B07" w:rsidR="004D3DAA" w:rsidRPr="00E2105F" w:rsidRDefault="00392B4D" w:rsidP="00146328">
      <w:pPr>
        <w:spacing w:after="240" w:line="240" w:lineRule="auto"/>
        <w:jc w:val="both"/>
        <w:rPr>
          <w:rFonts w:ascii="Helvetica-Light" w:hAnsi="Helvetica-Light" w:cstheme="minorHAnsi"/>
          <w:bCs/>
          <w:i/>
          <w:color w:val="44546A" w:themeColor="text2"/>
          <w:sz w:val="16"/>
        </w:rPr>
      </w:pPr>
      <w:r w:rsidRPr="007F282F">
        <w:rPr>
          <w:rFonts w:ascii="Helvetica-Light" w:hAnsi="Helvetica-Light" w:cstheme="minorHAnsi"/>
          <w:bCs/>
          <w:i/>
          <w:color w:val="44546A" w:themeColor="text2"/>
          <w:sz w:val="16"/>
        </w:rPr>
        <w:t>Source:</w:t>
      </w:r>
      <w:r w:rsidRPr="00E2105F">
        <w:rPr>
          <w:rFonts w:ascii="Helvetica-Light" w:hAnsi="Helvetica-Light" w:cstheme="minorHAnsi"/>
          <w:bCs/>
          <w:i/>
          <w:color w:val="44546A" w:themeColor="text2"/>
          <w:sz w:val="16"/>
        </w:rPr>
        <w:t xml:space="preserve"> </w:t>
      </w:r>
      <w:proofErr w:type="spellStart"/>
      <w:r w:rsidRPr="00E2105F">
        <w:rPr>
          <w:rFonts w:ascii="Helvetica-Light" w:hAnsi="Helvetica-Light" w:cstheme="minorHAnsi"/>
          <w:bCs/>
          <w:i/>
          <w:color w:val="44546A" w:themeColor="text2"/>
          <w:sz w:val="16"/>
        </w:rPr>
        <w:t>Geostat</w:t>
      </w:r>
      <w:proofErr w:type="spellEnd"/>
      <w:r w:rsidRPr="00E2105F">
        <w:rPr>
          <w:rFonts w:ascii="Helvetica-Light" w:hAnsi="Helvetica-Light" w:cstheme="minorHAnsi"/>
          <w:bCs/>
          <w:i/>
          <w:color w:val="44546A" w:themeColor="text2"/>
          <w:sz w:val="16"/>
        </w:rPr>
        <w:t xml:space="preserve"> data elaborated by authors</w:t>
      </w:r>
    </w:p>
    <w:p w14:paraId="2D667064" w14:textId="77777777" w:rsidR="00961103" w:rsidRDefault="00392B4D" w:rsidP="00146328">
      <w:pPr>
        <w:spacing w:after="240" w:line="240" w:lineRule="auto"/>
        <w:jc w:val="both"/>
        <w:rPr>
          <w:rFonts w:ascii="Helvetica-Light" w:hAnsi="Helvetica-Light" w:cstheme="minorHAnsi"/>
        </w:rPr>
      </w:pPr>
      <w:r>
        <w:rPr>
          <w:rFonts w:ascii="Helvetica-Light" w:hAnsi="Helvetica-Light" w:cstheme="minorHAnsi"/>
        </w:rPr>
        <w:t xml:space="preserve">As it can be seen from the table, </w:t>
      </w:r>
      <w:r w:rsidR="006A0049">
        <w:rPr>
          <w:rFonts w:ascii="Helvetica-Light" w:hAnsi="Helvetica-Light" w:cstheme="minorHAnsi"/>
        </w:rPr>
        <w:t>members of the</w:t>
      </w:r>
      <w:r w:rsidR="00A63793">
        <w:rPr>
          <w:rFonts w:ascii="Helvetica-Light" w:hAnsi="Helvetica-Light" w:cstheme="minorHAnsi"/>
        </w:rPr>
        <w:t xml:space="preserve"> vulnerable groups </w:t>
      </w:r>
      <w:r w:rsidR="006A0049">
        <w:rPr>
          <w:rFonts w:ascii="Helvetica-Light" w:hAnsi="Helvetica-Light" w:cstheme="minorHAnsi"/>
        </w:rPr>
        <w:t>are</w:t>
      </w:r>
      <w:r w:rsidR="004445C5">
        <w:rPr>
          <w:rFonts w:ascii="Helvetica-Light" w:hAnsi="Helvetica-Light" w:cstheme="minorHAnsi"/>
        </w:rPr>
        <w:t xml:space="preserve"> </w:t>
      </w:r>
      <w:r w:rsidR="006A0049">
        <w:rPr>
          <w:rFonts w:ascii="Helvetica-Light" w:hAnsi="Helvetica-Light" w:cstheme="minorHAnsi"/>
        </w:rPr>
        <w:t xml:space="preserve">typically more likely to be </w:t>
      </w:r>
      <w:r w:rsidR="004445C5">
        <w:rPr>
          <w:rFonts w:ascii="Helvetica-Light" w:hAnsi="Helvetica-Light" w:cstheme="minorHAnsi"/>
        </w:rPr>
        <w:t>ex</w:t>
      </w:r>
      <w:r w:rsidR="00BC2F39">
        <w:rPr>
          <w:rFonts w:ascii="Helvetica-Light" w:hAnsi="Helvetica-Light" w:cstheme="minorHAnsi"/>
        </w:rPr>
        <w:t xml:space="preserve">posed to at least some issues of unstable housing </w:t>
      </w:r>
      <w:r w:rsidR="002F577A">
        <w:rPr>
          <w:rFonts w:ascii="Helvetica-Light" w:hAnsi="Helvetica-Light" w:cstheme="minorHAnsi"/>
        </w:rPr>
        <w:t xml:space="preserve">than the average Georgian citizen. </w:t>
      </w:r>
    </w:p>
    <w:p w14:paraId="682F5E0A" w14:textId="5BAF039C" w:rsidR="00961103" w:rsidRDefault="00AF111C" w:rsidP="00146328">
      <w:pPr>
        <w:spacing w:after="240" w:line="240" w:lineRule="auto"/>
        <w:jc w:val="both"/>
        <w:rPr>
          <w:rFonts w:ascii="Helvetica-Light" w:hAnsi="Helvetica-Light" w:cstheme="minorHAnsi"/>
        </w:rPr>
      </w:pPr>
      <w:r>
        <w:rPr>
          <w:rFonts w:ascii="Helvetica-Light" w:hAnsi="Helvetica-Light" w:cstheme="minorHAnsi"/>
        </w:rPr>
        <w:t xml:space="preserve">Not surprisingly, households ranking in the </w:t>
      </w:r>
      <w:r w:rsidR="002F5177">
        <w:rPr>
          <w:rFonts w:ascii="Helvetica-Light" w:hAnsi="Helvetica-Light" w:cstheme="minorHAnsi"/>
        </w:rPr>
        <w:t>lowest income quartile are facing much bigger housing affordability challenges than the average household</w:t>
      </w:r>
      <w:r w:rsidR="003B5AFE">
        <w:rPr>
          <w:rFonts w:ascii="Helvetica-Light" w:hAnsi="Helvetica-Light" w:cstheme="minorHAnsi"/>
        </w:rPr>
        <w:t>, both in urban and rural areas</w:t>
      </w:r>
      <w:r w:rsidR="00B03A03">
        <w:rPr>
          <w:rFonts w:ascii="Helvetica-Light" w:hAnsi="Helvetica-Light" w:cstheme="minorHAnsi"/>
        </w:rPr>
        <w:t>. The only other vulnerable group exposed to this risk more than the average household is that of households headed by a woman.</w:t>
      </w:r>
    </w:p>
    <w:p w14:paraId="12DCED56" w14:textId="7B52B09F" w:rsidR="007D79EC" w:rsidRDefault="007D79EC" w:rsidP="00146328">
      <w:pPr>
        <w:spacing w:after="240" w:line="240" w:lineRule="auto"/>
        <w:jc w:val="both"/>
        <w:rPr>
          <w:rFonts w:ascii="Helvetica-Light" w:hAnsi="Helvetica-Light" w:cstheme="minorHAnsi"/>
        </w:rPr>
      </w:pPr>
      <w:r>
        <w:rPr>
          <w:rFonts w:ascii="Helvetica-Light" w:hAnsi="Helvetica-Light" w:cstheme="minorHAnsi"/>
        </w:rPr>
        <w:t xml:space="preserve">All vulnerable </w:t>
      </w:r>
      <w:r w:rsidR="00EC42FA">
        <w:rPr>
          <w:rFonts w:ascii="Helvetica-Light" w:hAnsi="Helvetica-Light" w:cstheme="minorHAnsi"/>
        </w:rPr>
        <w:t xml:space="preserve">households living in urban settings appear more likely to live in unfit houses and in houses at risk of collapse than the average urban household. The issue </w:t>
      </w:r>
      <w:r w:rsidR="00093A8C">
        <w:rPr>
          <w:rFonts w:ascii="Helvetica-Light" w:hAnsi="Helvetica-Light" w:cstheme="minorHAnsi"/>
        </w:rPr>
        <w:t xml:space="preserve">appears more serious </w:t>
      </w:r>
      <w:r w:rsidR="003B5AFE">
        <w:rPr>
          <w:rFonts w:ascii="Helvetica-Light" w:hAnsi="Helvetica-Light" w:cstheme="minorHAnsi"/>
        </w:rPr>
        <w:t>for the poorest households and for households with disabled family members.</w:t>
      </w:r>
    </w:p>
    <w:p w14:paraId="496D2E04" w14:textId="5951621D" w:rsidR="00EC74CA" w:rsidRDefault="00EC74CA" w:rsidP="00EC74CA">
      <w:pPr>
        <w:spacing w:after="240" w:line="240" w:lineRule="auto"/>
        <w:jc w:val="both"/>
        <w:rPr>
          <w:rFonts w:ascii="Helvetica-Light" w:hAnsi="Helvetica-Light" w:cstheme="minorHAnsi"/>
        </w:rPr>
      </w:pPr>
      <w:r>
        <w:rPr>
          <w:rFonts w:ascii="Helvetica-Light" w:hAnsi="Helvetica-Light" w:cstheme="minorHAnsi"/>
        </w:rPr>
        <w:t xml:space="preserve">In rural settings, </w:t>
      </w:r>
      <w:r w:rsidR="00B76290">
        <w:rPr>
          <w:rFonts w:ascii="Helvetica-Light" w:hAnsi="Helvetica-Light" w:cstheme="minorHAnsi"/>
        </w:rPr>
        <w:t>IDP</w:t>
      </w:r>
      <w:r w:rsidR="00DE4A01">
        <w:rPr>
          <w:rFonts w:ascii="Helvetica-Light" w:hAnsi="Helvetica-Light" w:cstheme="minorHAnsi"/>
        </w:rPr>
        <w:t xml:space="preserve"> households </w:t>
      </w:r>
      <w:r w:rsidR="00B76290">
        <w:rPr>
          <w:rFonts w:ascii="Helvetica-Light" w:hAnsi="Helvetica-Light" w:cstheme="minorHAnsi"/>
        </w:rPr>
        <w:t>seem to be in a significantly better situation with respect to other vulnerable groups</w:t>
      </w:r>
      <w:r w:rsidR="00DE4A01">
        <w:rPr>
          <w:rFonts w:ascii="Helvetica-Light" w:hAnsi="Helvetica-Light" w:cstheme="minorHAnsi"/>
        </w:rPr>
        <w:t xml:space="preserve"> and to the average Georgian household. </w:t>
      </w:r>
      <w:r w:rsidR="002C0EB4">
        <w:rPr>
          <w:rFonts w:ascii="Helvetica-Light" w:hAnsi="Helvetica-Light" w:cstheme="minorHAnsi"/>
        </w:rPr>
        <w:t xml:space="preserve">Other </w:t>
      </w:r>
      <w:r>
        <w:rPr>
          <w:rFonts w:ascii="Helvetica-Light" w:hAnsi="Helvetica-Light" w:cstheme="minorHAnsi"/>
        </w:rPr>
        <w:t xml:space="preserve">vulnerable </w:t>
      </w:r>
      <w:r w:rsidR="002C0EB4">
        <w:rPr>
          <w:rFonts w:ascii="Helvetica-Light" w:hAnsi="Helvetica-Light" w:cstheme="minorHAnsi"/>
        </w:rPr>
        <w:t xml:space="preserve">groups </w:t>
      </w:r>
      <w:r>
        <w:rPr>
          <w:rFonts w:ascii="Helvetica-Light" w:hAnsi="Helvetica-Light" w:cstheme="minorHAnsi"/>
        </w:rPr>
        <w:t xml:space="preserve">appear more likely to live in unfit houses and in houses at risk of collapse than the average </w:t>
      </w:r>
      <w:r w:rsidR="002C0EB4">
        <w:rPr>
          <w:rFonts w:ascii="Helvetica-Light" w:hAnsi="Helvetica-Light" w:cstheme="minorHAnsi"/>
        </w:rPr>
        <w:t>rural</w:t>
      </w:r>
      <w:r>
        <w:rPr>
          <w:rFonts w:ascii="Helvetica-Light" w:hAnsi="Helvetica-Light" w:cstheme="minorHAnsi"/>
        </w:rPr>
        <w:t xml:space="preserve"> household</w:t>
      </w:r>
      <w:r w:rsidR="002C0EB4">
        <w:rPr>
          <w:rFonts w:ascii="Helvetica-Light" w:hAnsi="Helvetica-Light" w:cstheme="minorHAnsi"/>
        </w:rPr>
        <w:t>s</w:t>
      </w:r>
      <w:r>
        <w:rPr>
          <w:rFonts w:ascii="Helvetica-Light" w:hAnsi="Helvetica-Light" w:cstheme="minorHAnsi"/>
        </w:rPr>
        <w:t xml:space="preserve">. </w:t>
      </w:r>
      <w:r w:rsidR="00C53653">
        <w:rPr>
          <w:rFonts w:ascii="Helvetica-Light" w:hAnsi="Helvetica-Light" w:cstheme="minorHAnsi"/>
        </w:rPr>
        <w:t xml:space="preserve"> Again, t</w:t>
      </w:r>
      <w:r>
        <w:rPr>
          <w:rFonts w:ascii="Helvetica-Light" w:hAnsi="Helvetica-Light" w:cstheme="minorHAnsi"/>
        </w:rPr>
        <w:t>he issue appears more serious for the poorest households and for households with disabled family members.</w:t>
      </w:r>
    </w:p>
    <w:p w14:paraId="222DE4F4" w14:textId="0B4EFEC6" w:rsidR="00C53653" w:rsidRDefault="00C53653" w:rsidP="00EC74CA">
      <w:pPr>
        <w:spacing w:after="240" w:line="240" w:lineRule="auto"/>
        <w:jc w:val="both"/>
        <w:rPr>
          <w:rFonts w:ascii="Helvetica-Light" w:hAnsi="Helvetica-Light" w:cstheme="minorHAnsi"/>
        </w:rPr>
      </w:pPr>
      <w:r>
        <w:rPr>
          <w:rFonts w:ascii="Helvetica-Light" w:hAnsi="Helvetica-Light" w:cstheme="minorHAnsi"/>
        </w:rPr>
        <w:lastRenderedPageBreak/>
        <w:t xml:space="preserve">The issue of overcrowding </w:t>
      </w:r>
      <w:r w:rsidR="00EC59B7">
        <w:rPr>
          <w:rFonts w:ascii="Helvetica-Light" w:hAnsi="Helvetica-Light" w:cstheme="minorHAnsi"/>
        </w:rPr>
        <w:t>seems to be relatively minor in rural areas. In urban areas, however, 5</w:t>
      </w:r>
      <w:r w:rsidR="00784925">
        <w:rPr>
          <w:rFonts w:ascii="Helvetica-Light" w:hAnsi="Helvetica-Light" w:cstheme="minorHAnsi"/>
        </w:rPr>
        <w:t>.2</w:t>
      </w:r>
      <w:r w:rsidR="00EC59B7">
        <w:rPr>
          <w:rFonts w:ascii="Helvetica-Light" w:hAnsi="Helvetica-Light" w:cstheme="minorHAnsi"/>
        </w:rPr>
        <w:t>% of IDP households and</w:t>
      </w:r>
      <w:r w:rsidR="00784925">
        <w:rPr>
          <w:rFonts w:ascii="Helvetica-Light" w:hAnsi="Helvetica-Light" w:cstheme="minorHAnsi"/>
        </w:rPr>
        <w:t xml:space="preserve"> 2.6% of households with disabled members live in overcrowded </w:t>
      </w:r>
      <w:r w:rsidR="00D143A2">
        <w:rPr>
          <w:rFonts w:ascii="Helvetica-Light" w:hAnsi="Helvetica-Light" w:cstheme="minorHAnsi"/>
        </w:rPr>
        <w:t>spaces, shares significantly higher th</w:t>
      </w:r>
      <w:r w:rsidR="00494616">
        <w:rPr>
          <w:rFonts w:ascii="Helvetica-Light" w:hAnsi="Helvetica-Light" w:cstheme="minorHAnsi"/>
        </w:rPr>
        <w:t xml:space="preserve">an the national average </w:t>
      </w:r>
      <w:r w:rsidR="00DC079D">
        <w:rPr>
          <w:rFonts w:ascii="Helvetica-Light" w:hAnsi="Helvetica-Light" w:cstheme="minorHAnsi"/>
        </w:rPr>
        <w:t>and then</w:t>
      </w:r>
      <w:r w:rsidR="00494616">
        <w:rPr>
          <w:rFonts w:ascii="Helvetica-Light" w:hAnsi="Helvetica-Light" w:cstheme="minorHAnsi"/>
        </w:rPr>
        <w:t xml:space="preserve"> the averages for other vulnerable groups.</w:t>
      </w:r>
    </w:p>
    <w:p w14:paraId="53AEDEE4" w14:textId="06F11732" w:rsidR="00392B4D" w:rsidRDefault="00494616" w:rsidP="00146328">
      <w:pPr>
        <w:spacing w:after="240" w:line="240" w:lineRule="auto"/>
        <w:jc w:val="both"/>
        <w:rPr>
          <w:rFonts w:ascii="Helvetica-Light" w:hAnsi="Helvetica-Light" w:cstheme="minorHAnsi"/>
        </w:rPr>
      </w:pPr>
      <w:r>
        <w:rPr>
          <w:rFonts w:ascii="Helvetica-Light" w:hAnsi="Helvetica-Light" w:cstheme="minorHAnsi"/>
        </w:rPr>
        <w:t>T</w:t>
      </w:r>
      <w:r w:rsidR="00D83853">
        <w:rPr>
          <w:rFonts w:ascii="Helvetica-Light" w:hAnsi="Helvetica-Light" w:cstheme="minorHAnsi"/>
        </w:rPr>
        <w:t>wo very important conclusions that we can draw from the observation of the summary table above</w:t>
      </w:r>
      <w:r w:rsidR="002F577A">
        <w:rPr>
          <w:rFonts w:ascii="Helvetica-Light" w:hAnsi="Helvetica-Light" w:cstheme="minorHAnsi"/>
        </w:rPr>
        <w:t>:</w:t>
      </w:r>
    </w:p>
    <w:p w14:paraId="6D43B7AB" w14:textId="743CB2ED" w:rsidR="002F577A" w:rsidRDefault="002F577A" w:rsidP="002F577A">
      <w:pPr>
        <w:pStyle w:val="Paragrafoelenco"/>
        <w:numPr>
          <w:ilvl w:val="0"/>
          <w:numId w:val="11"/>
        </w:numPr>
        <w:spacing w:after="240" w:line="240" w:lineRule="auto"/>
        <w:jc w:val="both"/>
        <w:rPr>
          <w:rFonts w:ascii="Helvetica-Light" w:hAnsi="Helvetica-Light" w:cstheme="minorHAnsi"/>
        </w:rPr>
      </w:pPr>
      <w:r>
        <w:rPr>
          <w:rFonts w:ascii="Helvetica-Light" w:hAnsi="Helvetica-Light" w:cstheme="minorHAnsi"/>
        </w:rPr>
        <w:t xml:space="preserve">Not all vulnerable groups face the same </w:t>
      </w:r>
      <w:r w:rsidR="00781542">
        <w:rPr>
          <w:rFonts w:ascii="Helvetica-Light" w:hAnsi="Helvetica-Light" w:cstheme="minorHAnsi"/>
        </w:rPr>
        <w:t xml:space="preserve">housing </w:t>
      </w:r>
      <w:r>
        <w:rPr>
          <w:rFonts w:ascii="Helvetica-Light" w:hAnsi="Helvetica-Light" w:cstheme="minorHAnsi"/>
        </w:rPr>
        <w:t>issues;</w:t>
      </w:r>
    </w:p>
    <w:p w14:paraId="0701C661" w14:textId="2981D44B" w:rsidR="002F577A" w:rsidRDefault="00E21C61" w:rsidP="002F577A">
      <w:pPr>
        <w:pStyle w:val="Paragrafoelenco"/>
        <w:numPr>
          <w:ilvl w:val="0"/>
          <w:numId w:val="11"/>
        </w:numPr>
        <w:spacing w:after="240" w:line="240" w:lineRule="auto"/>
        <w:jc w:val="both"/>
        <w:rPr>
          <w:rFonts w:ascii="Helvetica-Light" w:hAnsi="Helvetica-Light" w:cstheme="minorHAnsi"/>
        </w:rPr>
      </w:pPr>
      <w:r>
        <w:rPr>
          <w:rFonts w:ascii="Helvetica-Light" w:hAnsi="Helvetica-Light" w:cstheme="minorHAnsi"/>
        </w:rPr>
        <w:t>Unstable</w:t>
      </w:r>
      <w:r w:rsidR="00D83853">
        <w:rPr>
          <w:rFonts w:ascii="Helvetica-Light" w:hAnsi="Helvetica-Light" w:cstheme="minorHAnsi"/>
        </w:rPr>
        <w:t xml:space="preserve"> housing affects the whole Georgian population and is not confined t</w:t>
      </w:r>
      <w:r w:rsidR="00E20A3E">
        <w:rPr>
          <w:rFonts w:ascii="Helvetica-Light" w:hAnsi="Helvetica-Light" w:cstheme="minorHAnsi"/>
        </w:rPr>
        <w:t>o vulnerable groups.</w:t>
      </w:r>
    </w:p>
    <w:p w14:paraId="74BA0BF2" w14:textId="5D483087" w:rsidR="00E20A3E" w:rsidRDefault="00E20A3E" w:rsidP="00E20A3E">
      <w:pPr>
        <w:spacing w:after="240" w:line="240" w:lineRule="auto"/>
        <w:jc w:val="both"/>
        <w:rPr>
          <w:rFonts w:ascii="Helvetica-Light" w:hAnsi="Helvetica-Light" w:cstheme="minorHAnsi"/>
        </w:rPr>
      </w:pPr>
      <w:r>
        <w:rPr>
          <w:rFonts w:ascii="Helvetica-Light" w:hAnsi="Helvetica-Light" w:cstheme="minorHAnsi"/>
        </w:rPr>
        <w:t>This implies that</w:t>
      </w:r>
      <w:r w:rsidR="00EA2922">
        <w:rPr>
          <w:rFonts w:ascii="Helvetica-Light" w:hAnsi="Helvetica-Light" w:cstheme="minorHAnsi"/>
        </w:rPr>
        <w:t xml:space="preserve"> a policy to address unstable housing cannot be built around the needs and characteristics of </w:t>
      </w:r>
      <w:r w:rsidR="00B93442">
        <w:rPr>
          <w:rFonts w:ascii="Helvetica-Light" w:hAnsi="Helvetica-Light" w:cstheme="minorHAnsi"/>
        </w:rPr>
        <w:t>one or more specific vulnerable groups, but should be designed having in mind the pervasiveness and diffusion of unstable housing across the whole population.</w:t>
      </w:r>
    </w:p>
    <w:p w14:paraId="46FA6655" w14:textId="77777777" w:rsidR="00B65F6E" w:rsidRPr="00EC01DE" w:rsidRDefault="00B65F6E" w:rsidP="00146328">
      <w:pPr>
        <w:pStyle w:val="Titolo2"/>
        <w:numPr>
          <w:ilvl w:val="0"/>
          <w:numId w:val="1"/>
        </w:numPr>
        <w:spacing w:after="240" w:line="240" w:lineRule="auto"/>
        <w:jc w:val="both"/>
        <w:rPr>
          <w:rFonts w:ascii="Helvetica" w:hAnsi="Helvetica" w:cstheme="minorHAnsi"/>
          <w:b/>
          <w:color w:val="002060"/>
          <w:sz w:val="28"/>
          <w:szCs w:val="22"/>
        </w:rPr>
      </w:pPr>
      <w:bookmarkStart w:id="1" w:name="_Toc28010451"/>
      <w:bookmarkStart w:id="2" w:name="_Toc28008595"/>
      <w:r w:rsidRPr="00EC01DE">
        <w:rPr>
          <w:rFonts w:ascii="Helvetica" w:hAnsi="Helvetica" w:cstheme="minorHAnsi"/>
          <w:b/>
          <w:color w:val="002060"/>
          <w:sz w:val="28"/>
          <w:szCs w:val="22"/>
        </w:rPr>
        <w:t>Summary and Conclusions</w:t>
      </w:r>
      <w:bookmarkEnd w:id="1"/>
      <w:bookmarkEnd w:id="2"/>
    </w:p>
    <w:p w14:paraId="0F34974F" w14:textId="77777777" w:rsidR="00B65F6E" w:rsidRPr="00454C9A" w:rsidRDefault="00B65F6E" w:rsidP="00146328">
      <w:pPr>
        <w:spacing w:after="240" w:line="240" w:lineRule="auto"/>
        <w:jc w:val="both"/>
        <w:rPr>
          <w:rFonts w:ascii="Helvetica-Light" w:hAnsi="Helvetica-Light" w:cstheme="minorHAnsi"/>
        </w:rPr>
      </w:pPr>
      <w:r w:rsidRPr="00454C9A">
        <w:rPr>
          <w:rFonts w:ascii="Helvetica-Light" w:hAnsi="Helvetica-Light" w:cstheme="minorHAnsi"/>
        </w:rPr>
        <w:t xml:space="preserve">The review of </w:t>
      </w:r>
      <w:r w:rsidR="00AE2834" w:rsidRPr="00454C9A">
        <w:rPr>
          <w:rFonts w:ascii="Helvetica-Light" w:hAnsi="Helvetica-Light" w:cstheme="minorHAnsi"/>
        </w:rPr>
        <w:t xml:space="preserve">the </w:t>
      </w:r>
      <w:r w:rsidRPr="00454C9A">
        <w:rPr>
          <w:rFonts w:ascii="Helvetica-Light" w:hAnsi="Helvetica-Light" w:cstheme="minorHAnsi"/>
        </w:rPr>
        <w:t>evidence about the phenomenon of unstable housing in Georgia led to the following conclusions:</w:t>
      </w:r>
    </w:p>
    <w:p w14:paraId="6F9D6FAA" w14:textId="77777777" w:rsidR="009868FA" w:rsidRPr="00454C9A" w:rsidRDefault="009868FA" w:rsidP="00146328">
      <w:pPr>
        <w:pStyle w:val="Paragrafoelenco"/>
        <w:numPr>
          <w:ilvl w:val="1"/>
          <w:numId w:val="9"/>
        </w:numPr>
        <w:spacing w:after="240" w:line="240" w:lineRule="auto"/>
        <w:ind w:left="270" w:hanging="180"/>
        <w:jc w:val="both"/>
        <w:rPr>
          <w:rFonts w:ascii="Helvetica-Light" w:hAnsi="Helvetica-Light" w:cstheme="minorHAnsi"/>
        </w:rPr>
      </w:pPr>
      <w:r w:rsidRPr="00454C9A">
        <w:rPr>
          <w:rFonts w:ascii="Helvetica-Light" w:hAnsi="Helvetica-Light" w:cstheme="minorHAnsi"/>
        </w:rPr>
        <w:t>There is no unified methodology, or approach to define a person and/or household homeless. This heterogeneity in methodologies and approaches, and the absence of harmonized data about homeless and roofless individuals and households, poses a fundamental challenge to the analysis of the problems and to the design, implementation and evaluat</w:t>
      </w:r>
      <w:r w:rsidR="009A3DA5">
        <w:rPr>
          <w:rFonts w:ascii="Helvetica-Light" w:hAnsi="Helvetica-Light" w:cstheme="minorHAnsi"/>
        </w:rPr>
        <w:t>ion of policies to address them;</w:t>
      </w:r>
    </w:p>
    <w:p w14:paraId="05D1AEEB" w14:textId="77777777" w:rsidR="00B65F6E" w:rsidRPr="00454C9A" w:rsidRDefault="00B65F6E" w:rsidP="00146328">
      <w:pPr>
        <w:pStyle w:val="Paragrafoelenco"/>
        <w:numPr>
          <w:ilvl w:val="1"/>
          <w:numId w:val="9"/>
        </w:numPr>
        <w:spacing w:after="240" w:line="240" w:lineRule="auto"/>
        <w:ind w:left="270" w:hanging="180"/>
        <w:jc w:val="both"/>
        <w:rPr>
          <w:rFonts w:ascii="Helvetica-Light" w:hAnsi="Helvetica-Light" w:cstheme="minorHAnsi"/>
        </w:rPr>
      </w:pPr>
      <w:r w:rsidRPr="00454C9A">
        <w:rPr>
          <w:rFonts w:ascii="Helvetica-Light" w:hAnsi="Helvetica-Light" w:cstheme="minorHAnsi"/>
        </w:rPr>
        <w:t>The incidence of rooflessness in the country</w:t>
      </w:r>
      <w:r w:rsidR="009014E4" w:rsidRPr="00454C9A">
        <w:rPr>
          <w:rFonts w:ascii="Helvetica-Light" w:hAnsi="Helvetica-Light" w:cstheme="minorHAnsi"/>
        </w:rPr>
        <w:t>, estimated using the partial data obtained from municipalities,</w:t>
      </w:r>
      <w:r w:rsidR="000D576C">
        <w:rPr>
          <w:rFonts w:ascii="Helvetica-Light" w:hAnsi="Helvetica-Light" w:cstheme="minorHAnsi"/>
        </w:rPr>
        <w:t xml:space="preserve"> </w:t>
      </w:r>
      <w:r w:rsidR="00F738DD" w:rsidRPr="00454C9A">
        <w:rPr>
          <w:rFonts w:ascii="Helvetica-Light" w:hAnsi="Helvetica-Light" w:cstheme="minorHAnsi"/>
        </w:rPr>
        <w:t xml:space="preserve">appears </w:t>
      </w:r>
      <w:r w:rsidRPr="00454C9A">
        <w:rPr>
          <w:rFonts w:ascii="Helvetica-Light" w:hAnsi="Helvetica-Light" w:cstheme="minorHAnsi"/>
        </w:rPr>
        <w:t xml:space="preserve">relatively limited. </w:t>
      </w:r>
      <w:r w:rsidR="00896D6D" w:rsidRPr="00454C9A">
        <w:rPr>
          <w:rFonts w:ascii="Helvetica-Light" w:hAnsi="Helvetica-Light" w:cstheme="minorHAnsi"/>
        </w:rPr>
        <w:t>A</w:t>
      </w:r>
      <w:r w:rsidRPr="00454C9A">
        <w:rPr>
          <w:rFonts w:ascii="Helvetica-Light" w:hAnsi="Helvetica-Light" w:cstheme="minorHAnsi"/>
        </w:rPr>
        <w:t xml:space="preserve"> proper analysis of the phenomenon would require the collection and dissemination of more and higher quality information</w:t>
      </w:r>
      <w:r w:rsidR="009868FA" w:rsidRPr="00454C9A">
        <w:rPr>
          <w:rFonts w:ascii="Helvetica-Light" w:hAnsi="Helvetica-Light" w:cstheme="minorHAnsi"/>
        </w:rPr>
        <w:t>, particularly for the Tbilisi municipality</w:t>
      </w:r>
      <w:r w:rsidRPr="00454C9A">
        <w:rPr>
          <w:rFonts w:ascii="Helvetica-Light" w:hAnsi="Helvetica-Light" w:cstheme="minorHAnsi"/>
        </w:rPr>
        <w:t>;</w:t>
      </w:r>
    </w:p>
    <w:p w14:paraId="58301F0C" w14:textId="77777777" w:rsidR="00B65F6E" w:rsidRPr="00454C9A" w:rsidRDefault="00B65F6E" w:rsidP="00146328">
      <w:pPr>
        <w:pStyle w:val="Paragrafoelenco"/>
        <w:numPr>
          <w:ilvl w:val="1"/>
          <w:numId w:val="9"/>
        </w:numPr>
        <w:spacing w:after="240" w:line="240" w:lineRule="auto"/>
        <w:ind w:left="270" w:hanging="180"/>
        <w:jc w:val="both"/>
        <w:rPr>
          <w:rFonts w:ascii="Helvetica-Light" w:hAnsi="Helvetica-Light" w:cstheme="minorHAnsi"/>
        </w:rPr>
      </w:pPr>
      <w:r w:rsidRPr="00454C9A">
        <w:rPr>
          <w:rFonts w:ascii="Helvetica-Light" w:hAnsi="Helvetica-Light" w:cstheme="minorHAnsi"/>
        </w:rPr>
        <w:t>The system of assistance to support households and individuals exposed to unstable housing is fragmented and uncoordinated. This limits its effectiveness;</w:t>
      </w:r>
    </w:p>
    <w:p w14:paraId="4923F99C" w14:textId="77777777" w:rsidR="00B65F6E" w:rsidRPr="00454C9A" w:rsidRDefault="00B65F6E" w:rsidP="00146328">
      <w:pPr>
        <w:pStyle w:val="Paragrafoelenco"/>
        <w:numPr>
          <w:ilvl w:val="1"/>
          <w:numId w:val="9"/>
        </w:numPr>
        <w:spacing w:after="240" w:line="240" w:lineRule="auto"/>
        <w:ind w:left="270" w:hanging="180"/>
        <w:jc w:val="both"/>
        <w:rPr>
          <w:rFonts w:ascii="Helvetica-Light" w:hAnsi="Helvetica-Light" w:cstheme="minorHAnsi"/>
        </w:rPr>
      </w:pPr>
      <w:r w:rsidRPr="00454C9A">
        <w:rPr>
          <w:rFonts w:ascii="Helvetica-Light" w:hAnsi="Helvetica-Light" w:cstheme="minorHAnsi"/>
        </w:rPr>
        <w:t xml:space="preserve">Potential homelessness appears to be an issue for vulnerable categories not covered by social assistance of any kind (e.g. substance abusers) or for other categories that are covered just for limited periods of time (e.g. victims of violence – numbers on the rise). The absence of follow up monitoring and/or specific housing assistance increases the likelihood of these groups falling </w:t>
      </w:r>
      <w:r w:rsidR="00AE2834" w:rsidRPr="00454C9A">
        <w:rPr>
          <w:rFonts w:ascii="Helvetica-Light" w:hAnsi="Helvetica-Light" w:cstheme="minorHAnsi"/>
        </w:rPr>
        <w:t xml:space="preserve">chronically </w:t>
      </w:r>
      <w:r w:rsidRPr="00454C9A">
        <w:rPr>
          <w:rFonts w:ascii="Helvetica-Light" w:hAnsi="Helvetica-Light" w:cstheme="minorHAnsi"/>
        </w:rPr>
        <w:t>into unstable housing;</w:t>
      </w:r>
    </w:p>
    <w:p w14:paraId="042B9EE1" w14:textId="516132B4" w:rsidR="00B65F6E" w:rsidRDefault="00B65F6E" w:rsidP="00146328">
      <w:pPr>
        <w:pStyle w:val="Paragrafoelenco"/>
        <w:numPr>
          <w:ilvl w:val="1"/>
          <w:numId w:val="9"/>
        </w:numPr>
        <w:spacing w:after="240" w:line="240" w:lineRule="auto"/>
        <w:ind w:left="270" w:hanging="180"/>
        <w:jc w:val="both"/>
        <w:rPr>
          <w:rFonts w:ascii="Helvetica-Light" w:hAnsi="Helvetica-Light" w:cstheme="minorHAnsi"/>
        </w:rPr>
      </w:pPr>
      <w:r w:rsidRPr="00454C9A">
        <w:rPr>
          <w:rFonts w:ascii="Helvetica-Light" w:hAnsi="Helvetica-Light" w:cstheme="minorHAnsi"/>
        </w:rPr>
        <w:t>A substantial share of households lives in houses that are unfit and need substantial renovation. This is a phenomenon that affects mostly households in the lowest qua</w:t>
      </w:r>
      <w:r w:rsidR="007F282F">
        <w:rPr>
          <w:rFonts w:ascii="Helvetica-Light" w:hAnsi="Helvetica-Light" w:cstheme="minorHAnsi"/>
        </w:rPr>
        <w:t>r</w:t>
      </w:r>
      <w:r w:rsidRPr="00454C9A">
        <w:rPr>
          <w:rFonts w:ascii="Helvetica-Light" w:hAnsi="Helvetica-Light" w:cstheme="minorHAnsi"/>
        </w:rPr>
        <w:t>tile of the income distribution</w:t>
      </w:r>
      <w:r w:rsidR="004E0CB9">
        <w:rPr>
          <w:rFonts w:ascii="Helvetica-Light" w:hAnsi="Helvetica-Light" w:cstheme="minorHAnsi"/>
        </w:rPr>
        <w:t xml:space="preserve"> and household with members with disabilities, and appears to be substantially more severe in rural areas, with almost 1 in 10 households in the poorest quartile </w:t>
      </w:r>
      <w:r w:rsidR="00AC3FDA">
        <w:rPr>
          <w:rFonts w:ascii="Helvetica-Light" w:hAnsi="Helvetica-Light" w:cstheme="minorHAnsi"/>
        </w:rPr>
        <w:t>and 1 in 13</w:t>
      </w:r>
      <w:r w:rsidR="00BB0BB6">
        <w:rPr>
          <w:rFonts w:ascii="Helvetica-Light" w:hAnsi="Helvetica-Light" w:cstheme="minorHAnsi"/>
        </w:rPr>
        <w:t xml:space="preserve"> households with disabled family members</w:t>
      </w:r>
      <w:r w:rsidR="004E0CB9">
        <w:rPr>
          <w:rFonts w:ascii="Helvetica-Light" w:hAnsi="Helvetica-Light" w:cstheme="minorHAnsi"/>
        </w:rPr>
        <w:t xml:space="preserve">  facing this issue</w:t>
      </w:r>
      <w:r w:rsidR="00BB0BB6">
        <w:rPr>
          <w:rFonts w:ascii="Helvetica-Light" w:hAnsi="Helvetica-Light" w:cstheme="minorHAnsi"/>
        </w:rPr>
        <w:t xml:space="preserve"> (in </w:t>
      </w:r>
      <w:r w:rsidR="00A15833">
        <w:rPr>
          <w:rFonts w:ascii="Helvetica-Light" w:hAnsi="Helvetica-Light" w:cstheme="minorHAnsi"/>
        </w:rPr>
        <w:t>urban areas the</w:t>
      </w:r>
      <w:r w:rsidR="004D0591">
        <w:rPr>
          <w:rFonts w:ascii="Helvetica-Light" w:hAnsi="Helvetica-Light" w:cstheme="minorHAnsi"/>
        </w:rPr>
        <w:t xml:space="preserve"> respective shares are, instead, 1 in 30 and 1 in 20)</w:t>
      </w:r>
      <w:r w:rsidRPr="00454C9A">
        <w:rPr>
          <w:rFonts w:ascii="Helvetica-Light" w:hAnsi="Helvetica-Light" w:cstheme="minorHAnsi"/>
        </w:rPr>
        <w:t xml:space="preserve">. The most pressing and crucial challenge in this area is reducing the share of households living in houses at risk of </w:t>
      </w:r>
      <w:proofErr w:type="gramStart"/>
      <w:r w:rsidRPr="00454C9A">
        <w:rPr>
          <w:rFonts w:ascii="Helvetica-Light" w:hAnsi="Helvetica-Light" w:cstheme="minorHAnsi"/>
        </w:rPr>
        <w:t>collapse;</w:t>
      </w:r>
      <w:proofErr w:type="gramEnd"/>
    </w:p>
    <w:p w14:paraId="24C9695C" w14:textId="7B260270" w:rsidR="0082661F" w:rsidRDefault="0082661F" w:rsidP="00146328">
      <w:pPr>
        <w:pStyle w:val="Paragrafoelenco"/>
        <w:numPr>
          <w:ilvl w:val="1"/>
          <w:numId w:val="9"/>
        </w:numPr>
        <w:spacing w:after="240" w:line="240" w:lineRule="auto"/>
        <w:ind w:left="270" w:hanging="180"/>
        <w:jc w:val="both"/>
        <w:rPr>
          <w:rFonts w:ascii="Helvetica-Light" w:hAnsi="Helvetica-Light" w:cstheme="minorHAnsi"/>
        </w:rPr>
      </w:pPr>
      <w:r>
        <w:rPr>
          <w:rFonts w:ascii="Helvetica-Light" w:hAnsi="Helvetica-Light" w:cstheme="minorHAnsi"/>
        </w:rPr>
        <w:t xml:space="preserve">Overall, vulnerable groups </w:t>
      </w:r>
      <w:r w:rsidR="009E50AA">
        <w:rPr>
          <w:rFonts w:ascii="Helvetica-Light" w:hAnsi="Helvetica-Light" w:cstheme="minorHAnsi"/>
        </w:rPr>
        <w:t xml:space="preserve">(including IDPs) </w:t>
      </w:r>
      <w:r>
        <w:rPr>
          <w:rFonts w:ascii="Helvetica-Light" w:hAnsi="Helvetica-Light" w:cstheme="minorHAnsi"/>
        </w:rPr>
        <w:t>are more likely to face unstable housing issues</w:t>
      </w:r>
      <w:r w:rsidR="00752A3D">
        <w:rPr>
          <w:rFonts w:ascii="Helvetica-Light" w:hAnsi="Helvetica-Light" w:cstheme="minorHAnsi"/>
        </w:rPr>
        <w:t xml:space="preserve"> than the rest of the Georgian population. However, no vulnerable group stands out as</w:t>
      </w:r>
      <w:r w:rsidR="00766A83">
        <w:rPr>
          <w:rFonts w:ascii="Helvetica-Light" w:hAnsi="Helvetica-Light" w:cstheme="minorHAnsi"/>
        </w:rPr>
        <w:t xml:space="preserve"> prevalently hit by unstable housing</w:t>
      </w:r>
      <w:r w:rsidR="000154C6">
        <w:rPr>
          <w:rFonts w:ascii="Helvetica-Light" w:hAnsi="Helvetica-Light" w:cstheme="minorHAnsi"/>
        </w:rPr>
        <w:t>, and – in most cases – the difference in incidence of unstable housing between vulnerable groups and the rest of the society</w:t>
      </w:r>
      <w:r w:rsidR="00F83817">
        <w:rPr>
          <w:rFonts w:ascii="Helvetica-Light" w:hAnsi="Helvetica-Light" w:cstheme="minorHAnsi"/>
        </w:rPr>
        <w:t>, is not dramatic</w:t>
      </w:r>
      <w:r w:rsidR="007E2EBC">
        <w:rPr>
          <w:rStyle w:val="Rimandonotaapidipagina"/>
          <w:rFonts w:ascii="Helvetica-Light" w:hAnsi="Helvetica-Light" w:cstheme="minorHAnsi"/>
        </w:rPr>
        <w:footnoteReference w:id="22"/>
      </w:r>
      <w:r w:rsidR="00766A83">
        <w:rPr>
          <w:rFonts w:ascii="Helvetica-Light" w:hAnsi="Helvetica-Light" w:cstheme="minorHAnsi"/>
        </w:rPr>
        <w:t xml:space="preserve">. It </w:t>
      </w:r>
      <w:r w:rsidR="000D5341">
        <w:rPr>
          <w:rFonts w:ascii="Helvetica-Light" w:hAnsi="Helvetica-Light" w:cstheme="minorHAnsi"/>
        </w:rPr>
        <w:t>looks</w:t>
      </w:r>
      <w:r w:rsidR="00766A83">
        <w:rPr>
          <w:rFonts w:ascii="Helvetica-Light" w:hAnsi="Helvetica-Light" w:cstheme="minorHAnsi"/>
        </w:rPr>
        <w:t xml:space="preserve">, therefore, advisable, to </w:t>
      </w:r>
      <w:r w:rsidR="00D63926">
        <w:rPr>
          <w:rFonts w:ascii="Helvetica-Light" w:hAnsi="Helvetica-Light" w:cstheme="minorHAnsi"/>
        </w:rPr>
        <w:t xml:space="preserve">design </w:t>
      </w:r>
      <w:r w:rsidR="00E6387E">
        <w:rPr>
          <w:rFonts w:ascii="Helvetica-Light" w:hAnsi="Helvetica-Light" w:cstheme="minorHAnsi"/>
        </w:rPr>
        <w:t>a</w:t>
      </w:r>
      <w:r w:rsidR="00D63926">
        <w:rPr>
          <w:rFonts w:ascii="Helvetica-Light" w:hAnsi="Helvetica-Light" w:cstheme="minorHAnsi"/>
        </w:rPr>
        <w:t xml:space="preserve"> </w:t>
      </w:r>
      <w:r w:rsidR="00E6387E">
        <w:rPr>
          <w:rFonts w:ascii="Helvetica-Light" w:hAnsi="Helvetica-Light" w:cstheme="minorHAnsi"/>
        </w:rPr>
        <w:t xml:space="preserve">more general </w:t>
      </w:r>
      <w:r w:rsidR="00D63926">
        <w:rPr>
          <w:rFonts w:ascii="Helvetica-Light" w:hAnsi="Helvetica-Light" w:cstheme="minorHAnsi"/>
        </w:rPr>
        <w:t>strategy</w:t>
      </w:r>
      <w:r w:rsidR="00E6387E">
        <w:rPr>
          <w:rFonts w:ascii="Helvetica-Light" w:hAnsi="Helvetica-Light" w:cstheme="minorHAnsi"/>
        </w:rPr>
        <w:t xml:space="preserve"> </w:t>
      </w:r>
      <w:r w:rsidR="00D63926">
        <w:rPr>
          <w:rFonts w:ascii="Helvetica-Light" w:hAnsi="Helvetica-Light" w:cstheme="minorHAnsi"/>
        </w:rPr>
        <w:t xml:space="preserve">addressing unstable housing </w:t>
      </w:r>
      <w:r w:rsidR="00E6387E">
        <w:rPr>
          <w:rFonts w:ascii="Helvetica-Light" w:hAnsi="Helvetica-Light" w:cstheme="minorHAnsi"/>
        </w:rPr>
        <w:t xml:space="preserve">as a </w:t>
      </w:r>
      <w:r w:rsidR="000D5341">
        <w:rPr>
          <w:rFonts w:ascii="Helvetica-Light" w:hAnsi="Helvetica-Light" w:cstheme="minorHAnsi"/>
        </w:rPr>
        <w:t xml:space="preserve">broader societal issue, rather than attempting to </w:t>
      </w:r>
      <w:r w:rsidR="00864BD4">
        <w:rPr>
          <w:rFonts w:ascii="Helvetica-Light" w:hAnsi="Helvetica-Light" w:cstheme="minorHAnsi"/>
        </w:rPr>
        <w:t xml:space="preserve">design a specific response for each of the </w:t>
      </w:r>
      <w:r w:rsidR="00F83817">
        <w:rPr>
          <w:rFonts w:ascii="Helvetica-Light" w:hAnsi="Helvetica-Light" w:cstheme="minorHAnsi"/>
        </w:rPr>
        <w:t>vulnerable groups identified</w:t>
      </w:r>
      <w:r w:rsidR="008D2332">
        <w:rPr>
          <w:rFonts w:ascii="Helvetica-Light" w:hAnsi="Helvetica-Light" w:cstheme="minorHAnsi"/>
        </w:rPr>
        <w:t xml:space="preserve"> or to tailor </w:t>
      </w:r>
      <w:r w:rsidR="00410B7E">
        <w:rPr>
          <w:rFonts w:ascii="Helvetica-Light" w:hAnsi="Helvetica-Light" w:cstheme="minorHAnsi"/>
        </w:rPr>
        <w:t>the unstable housing strategy on the basis of the needs identified for a specific vu</w:t>
      </w:r>
      <w:r w:rsidR="004823D9">
        <w:rPr>
          <w:rFonts w:ascii="Helvetica-Light" w:hAnsi="Helvetica-Light" w:cstheme="minorHAnsi"/>
        </w:rPr>
        <w:t>lnerable group.</w:t>
      </w:r>
    </w:p>
    <w:p w14:paraId="071B262A" w14:textId="10D6FCF2" w:rsidR="00985C33" w:rsidRPr="007F282F" w:rsidRDefault="00985C33" w:rsidP="007F282F">
      <w:pPr>
        <w:spacing w:after="240" w:line="240" w:lineRule="auto"/>
        <w:jc w:val="both"/>
        <w:rPr>
          <w:rFonts w:ascii="Helvetica-Light" w:hAnsi="Helvetica-Light" w:cstheme="minorHAnsi"/>
        </w:rPr>
      </w:pPr>
    </w:p>
    <w:sectPr w:rsidR="00985C33" w:rsidRPr="007F282F" w:rsidSect="009159F6">
      <w:footerReference w:type="default" r:id="rId8"/>
      <w:pgSz w:w="11907" w:h="16839" w:code="9"/>
      <w:pgMar w:top="720" w:right="720" w:bottom="72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8105B" w14:textId="77777777" w:rsidR="008D3A18" w:rsidRDefault="008D3A18" w:rsidP="000F42A1">
      <w:pPr>
        <w:spacing w:after="0" w:line="240" w:lineRule="auto"/>
      </w:pPr>
      <w:r>
        <w:separator/>
      </w:r>
    </w:p>
  </w:endnote>
  <w:endnote w:type="continuationSeparator" w:id="0">
    <w:p w14:paraId="7A6F14DF" w14:textId="77777777" w:rsidR="008D3A18" w:rsidRDefault="008D3A18" w:rsidP="000F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igh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iraGO">
    <w:charset w:val="CC"/>
    <w:family w:val="swiss"/>
    <w:pitch w:val="variable"/>
    <w:sig w:usb0="6500AAFF" w:usb1="40000001" w:usb2="00000008" w:usb3="00000000" w:csb0="000101FF" w:csb1="00000000"/>
  </w:font>
  <w:font w:name="FiraGO Book">
    <w:charset w:val="CC"/>
    <w:family w:val="swiss"/>
    <w:pitch w:val="variable"/>
    <w:sig w:usb0="6500AAFF" w:usb1="40000001"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319467"/>
      <w:docPartObj>
        <w:docPartGallery w:val="Page Numbers (Bottom of Page)"/>
        <w:docPartUnique/>
      </w:docPartObj>
    </w:sdtPr>
    <w:sdtEndPr>
      <w:rPr>
        <w:noProof/>
      </w:rPr>
    </w:sdtEndPr>
    <w:sdtContent>
      <w:p w14:paraId="2263D3E2" w14:textId="77777777" w:rsidR="00901DE0" w:rsidRDefault="00A671A3">
        <w:pPr>
          <w:pStyle w:val="Pidipagina"/>
          <w:jc w:val="right"/>
        </w:pPr>
        <w:r>
          <w:fldChar w:fldCharType="begin"/>
        </w:r>
        <w:r w:rsidR="00901DE0">
          <w:instrText xml:space="preserve"> PAGE   \* MERGEFORMAT </w:instrText>
        </w:r>
        <w:r>
          <w:fldChar w:fldCharType="separate"/>
        </w:r>
        <w:r w:rsidR="009428AB">
          <w:rPr>
            <w:noProof/>
          </w:rPr>
          <w:t>5</w:t>
        </w:r>
        <w:r>
          <w:rPr>
            <w:noProof/>
          </w:rPr>
          <w:fldChar w:fldCharType="end"/>
        </w:r>
      </w:p>
    </w:sdtContent>
  </w:sdt>
  <w:p w14:paraId="6AC443AA" w14:textId="77777777" w:rsidR="00901DE0" w:rsidRDefault="00901D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CB25E" w14:textId="77777777" w:rsidR="008D3A18" w:rsidRDefault="008D3A18" w:rsidP="000F42A1">
      <w:pPr>
        <w:spacing w:after="0" w:line="240" w:lineRule="auto"/>
      </w:pPr>
      <w:r>
        <w:separator/>
      </w:r>
    </w:p>
  </w:footnote>
  <w:footnote w:type="continuationSeparator" w:id="0">
    <w:p w14:paraId="28B552D7" w14:textId="77777777" w:rsidR="008D3A18" w:rsidRDefault="008D3A18" w:rsidP="000F42A1">
      <w:pPr>
        <w:spacing w:after="0" w:line="240" w:lineRule="auto"/>
      </w:pPr>
      <w:r>
        <w:continuationSeparator/>
      </w:r>
    </w:p>
  </w:footnote>
  <w:footnote w:id="1">
    <w:p w14:paraId="32505480" w14:textId="3E5C3C79" w:rsidR="00E21AA8" w:rsidRPr="007B673C" w:rsidRDefault="00E21AA8" w:rsidP="007B673C">
      <w:pPr>
        <w:pStyle w:val="Testonotaapidipagina"/>
        <w:jc w:val="both"/>
        <w:rPr>
          <w:rFonts w:cstheme="minorHAnsi"/>
          <w:sz w:val="18"/>
          <w:szCs w:val="18"/>
        </w:rPr>
      </w:pPr>
      <w:r w:rsidRPr="006B348D">
        <w:rPr>
          <w:rStyle w:val="Rimandonotaapidipagina"/>
          <w:rFonts w:cstheme="minorHAnsi"/>
          <w:sz w:val="16"/>
          <w:szCs w:val="18"/>
        </w:rPr>
        <w:footnoteRef/>
      </w:r>
      <w:r w:rsidRPr="006B348D">
        <w:rPr>
          <w:rFonts w:cstheme="minorHAnsi"/>
          <w:sz w:val="16"/>
          <w:szCs w:val="18"/>
        </w:rPr>
        <w:t xml:space="preserve"> </w:t>
      </w:r>
      <w:r w:rsidR="00250F8B">
        <w:rPr>
          <w:rFonts w:cstheme="minorHAnsi"/>
          <w:sz w:val="16"/>
          <w:szCs w:val="18"/>
        </w:rPr>
        <w:t xml:space="preserve"> </w:t>
      </w:r>
      <w:r w:rsidRPr="006B348D">
        <w:rPr>
          <w:rFonts w:ascii="Helvetica-Light" w:hAnsi="Helvetica-Light" w:cstheme="minorHAnsi"/>
          <w:sz w:val="16"/>
          <w:szCs w:val="18"/>
        </w:rPr>
        <w:t>The discussion provided in the policy brief is based on the ETHOS definition</w:t>
      </w:r>
      <w:r w:rsidR="00E2105F">
        <w:rPr>
          <w:rFonts w:ascii="Helvetica-Light" w:hAnsi="Helvetica-Light" w:cstheme="minorHAnsi"/>
          <w:sz w:val="16"/>
          <w:szCs w:val="18"/>
        </w:rPr>
        <w:t>.</w:t>
      </w:r>
    </w:p>
  </w:footnote>
  <w:footnote w:id="2">
    <w:p w14:paraId="4EC68E23" w14:textId="7CAB04B7" w:rsidR="00960005" w:rsidRPr="006B348D" w:rsidRDefault="00960005" w:rsidP="007B673C">
      <w:pPr>
        <w:pStyle w:val="Testonotaapidipagina"/>
        <w:jc w:val="both"/>
        <w:rPr>
          <w:rFonts w:ascii="Helvetica-Light" w:hAnsi="Helvetica-Light" w:cstheme="minorHAnsi"/>
          <w:sz w:val="16"/>
          <w:szCs w:val="18"/>
          <w:lang w:val="ka-GE"/>
        </w:rPr>
      </w:pPr>
      <w:r w:rsidRPr="006B348D">
        <w:rPr>
          <w:rFonts w:ascii="Helvetica-Light" w:hAnsi="Helvetica-Light" w:cstheme="minorHAnsi"/>
          <w:sz w:val="16"/>
          <w:szCs w:val="18"/>
          <w:vertAlign w:val="superscript"/>
        </w:rPr>
        <w:footnoteRef/>
      </w:r>
      <w:r w:rsidRPr="006B348D">
        <w:rPr>
          <w:rFonts w:ascii="Helvetica-Light" w:hAnsi="Helvetica-Light" w:cstheme="minorHAnsi"/>
          <w:sz w:val="10"/>
          <w:szCs w:val="18"/>
        </w:rPr>
        <w:t xml:space="preserve"> </w:t>
      </w:r>
      <w:r w:rsidR="00E006E2">
        <w:rPr>
          <w:rFonts w:ascii="Helvetica-Light" w:hAnsi="Helvetica-Light" w:cstheme="minorHAnsi"/>
          <w:sz w:val="10"/>
          <w:szCs w:val="18"/>
        </w:rPr>
        <w:t xml:space="preserve">  </w:t>
      </w:r>
      <w:r w:rsidRPr="006B348D">
        <w:rPr>
          <w:rFonts w:ascii="Helvetica-Light" w:hAnsi="Helvetica-Light" w:cstheme="minorHAnsi"/>
          <w:sz w:val="16"/>
          <w:szCs w:val="18"/>
        </w:rPr>
        <w:t>Local Self Government Code, Chapter 3, Article 16</w:t>
      </w:r>
      <w:r w:rsidR="00DC079D">
        <w:rPr>
          <w:rFonts w:ascii="Helvetica-Light" w:hAnsi="Helvetica-Light" w:cstheme="minorHAnsi"/>
          <w:sz w:val="16"/>
          <w:szCs w:val="18"/>
        </w:rPr>
        <w:t>.</w:t>
      </w:r>
    </w:p>
  </w:footnote>
  <w:footnote w:id="3">
    <w:p w14:paraId="3247B42D" w14:textId="47E0D512" w:rsidR="00960005" w:rsidRPr="006B348D" w:rsidRDefault="00960005"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E006E2">
        <w:rPr>
          <w:rFonts w:ascii="Helvetica-Light" w:hAnsi="Helvetica-Light" w:cstheme="minorHAnsi"/>
          <w:sz w:val="16"/>
          <w:szCs w:val="18"/>
        </w:rPr>
        <w:t xml:space="preserve"> </w:t>
      </w:r>
      <w:r w:rsidRPr="006B348D">
        <w:rPr>
          <w:rFonts w:ascii="Helvetica-Light" w:hAnsi="Helvetica-Light" w:cstheme="minorHAnsi"/>
          <w:sz w:val="16"/>
          <w:szCs w:val="18"/>
        </w:rPr>
        <w:t>Authority of the local self-government that can be implemented independently under its own responsibility</w:t>
      </w:r>
      <w:r w:rsidR="00DC079D">
        <w:rPr>
          <w:rFonts w:ascii="Helvetica-Light" w:hAnsi="Helvetica-Light" w:cstheme="minorHAnsi"/>
          <w:sz w:val="16"/>
          <w:szCs w:val="18"/>
        </w:rPr>
        <w:t>.</w:t>
      </w:r>
    </w:p>
  </w:footnote>
  <w:footnote w:id="4">
    <w:p w14:paraId="03D7E590" w14:textId="175ADF4B" w:rsidR="00006B54" w:rsidRPr="006B348D" w:rsidRDefault="00006B54"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E006E2">
        <w:rPr>
          <w:rFonts w:ascii="Helvetica-Light" w:hAnsi="Helvetica-Light" w:cstheme="minorHAnsi"/>
          <w:sz w:val="16"/>
          <w:szCs w:val="18"/>
        </w:rPr>
        <w:t xml:space="preserve"> </w:t>
      </w:r>
      <w:r w:rsidRPr="006B348D">
        <w:rPr>
          <w:rFonts w:ascii="Helvetica-Light" w:hAnsi="Helvetica-Light" w:cstheme="minorHAnsi"/>
          <w:sz w:val="16"/>
          <w:szCs w:val="18"/>
        </w:rPr>
        <w:t xml:space="preserve">The discussion includes </w:t>
      </w:r>
      <w:r w:rsidR="003B3673" w:rsidRPr="006B348D">
        <w:rPr>
          <w:rFonts w:ascii="Helvetica-Light" w:hAnsi="Helvetica-Light" w:cstheme="minorHAnsi"/>
          <w:sz w:val="16"/>
          <w:szCs w:val="18"/>
        </w:rPr>
        <w:t>information</w:t>
      </w:r>
      <w:r w:rsidRPr="006B348D">
        <w:rPr>
          <w:rFonts w:ascii="Helvetica-Light" w:hAnsi="Helvetica-Light" w:cstheme="minorHAnsi"/>
          <w:sz w:val="16"/>
          <w:szCs w:val="18"/>
        </w:rPr>
        <w:t xml:space="preserve"> from 58 municipalities</w:t>
      </w:r>
      <w:r w:rsidR="00DC079D">
        <w:rPr>
          <w:rFonts w:ascii="Helvetica-Light" w:hAnsi="Helvetica-Light" w:cstheme="minorHAnsi"/>
          <w:sz w:val="16"/>
          <w:szCs w:val="18"/>
        </w:rPr>
        <w:t>.</w:t>
      </w:r>
    </w:p>
  </w:footnote>
  <w:footnote w:id="5">
    <w:p w14:paraId="0C8E762B" w14:textId="77777777" w:rsidR="00957334" w:rsidRPr="006B348D" w:rsidRDefault="00957334"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E006E2">
        <w:rPr>
          <w:rFonts w:ascii="Helvetica-Light" w:hAnsi="Helvetica-Light" w:cstheme="minorHAnsi"/>
          <w:sz w:val="16"/>
          <w:szCs w:val="18"/>
        </w:rPr>
        <w:t xml:space="preserve"> </w:t>
      </w:r>
      <w:r w:rsidRPr="006B348D">
        <w:rPr>
          <w:rFonts w:ascii="Helvetica-Light" w:hAnsi="Helvetica-Light" w:cstheme="minorHAnsi"/>
          <w:sz w:val="16"/>
          <w:szCs w:val="18"/>
        </w:rPr>
        <w:t xml:space="preserve">Those are the estimated values calculated according to </w:t>
      </w:r>
      <w:r w:rsidR="007B673C" w:rsidRPr="006B348D">
        <w:rPr>
          <w:rFonts w:ascii="Helvetica-Light" w:hAnsi="Helvetica-Light" w:cstheme="minorHAnsi"/>
          <w:sz w:val="16"/>
          <w:szCs w:val="18"/>
        </w:rPr>
        <w:t>GeoStat</w:t>
      </w:r>
      <w:r w:rsidRPr="006B348D">
        <w:rPr>
          <w:rFonts w:ascii="Helvetica-Light" w:hAnsi="Helvetica-Light" w:cstheme="minorHAnsi"/>
          <w:sz w:val="16"/>
          <w:szCs w:val="18"/>
        </w:rPr>
        <w:t xml:space="preserve"> data of the average family size.</w:t>
      </w:r>
    </w:p>
  </w:footnote>
  <w:footnote w:id="6">
    <w:p w14:paraId="50581395" w14:textId="14350C3A" w:rsidR="00901DE0" w:rsidRPr="006B348D" w:rsidRDefault="00901DE0"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E006E2">
        <w:rPr>
          <w:rFonts w:ascii="Helvetica-Light" w:hAnsi="Helvetica-Light" w:cstheme="minorHAnsi"/>
          <w:sz w:val="16"/>
          <w:szCs w:val="18"/>
        </w:rPr>
        <w:t xml:space="preserve"> </w:t>
      </w:r>
      <w:r w:rsidR="00FA06EB">
        <w:rPr>
          <w:rFonts w:ascii="Helvetica-Light" w:hAnsi="Helvetica-Light" w:cstheme="minorHAnsi"/>
          <w:sz w:val="16"/>
          <w:szCs w:val="18"/>
        </w:rPr>
        <w:t>T</w:t>
      </w:r>
      <w:r w:rsidRPr="006B348D">
        <w:rPr>
          <w:rFonts w:ascii="Helvetica-Light" w:hAnsi="Helvetica-Light" w:cstheme="minorHAnsi"/>
          <w:sz w:val="16"/>
          <w:szCs w:val="18"/>
        </w:rPr>
        <w:t>he majority of them are people who lost their houses due to natural disasters</w:t>
      </w:r>
      <w:r w:rsidR="00DC079D">
        <w:rPr>
          <w:rFonts w:ascii="Helvetica-Light" w:hAnsi="Helvetica-Light" w:cstheme="minorHAnsi"/>
          <w:sz w:val="16"/>
          <w:szCs w:val="18"/>
        </w:rPr>
        <w:t>.</w:t>
      </w:r>
    </w:p>
  </w:footnote>
  <w:footnote w:id="7">
    <w:p w14:paraId="5DF40B4D" w14:textId="77777777" w:rsidR="00F577F7" w:rsidRPr="006B348D" w:rsidRDefault="00F577F7" w:rsidP="00FA06EB">
      <w:pPr>
        <w:pStyle w:val="Testonotaapidipagina"/>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E006E2">
        <w:rPr>
          <w:rFonts w:ascii="Helvetica-Light" w:hAnsi="Helvetica-Light" w:cstheme="minorHAnsi"/>
          <w:sz w:val="16"/>
          <w:szCs w:val="18"/>
        </w:rPr>
        <w:t xml:space="preserve"> </w:t>
      </w:r>
      <w:r w:rsidRPr="006B348D">
        <w:rPr>
          <w:rFonts w:ascii="Helvetica-Light" w:hAnsi="Helvetica-Light" w:cstheme="minorHAnsi"/>
          <w:sz w:val="16"/>
          <w:szCs w:val="18"/>
        </w:rPr>
        <w:t>According to the provided data, in 2019 in Tbilisi 2</w:t>
      </w:r>
      <w:r w:rsidR="00D3583C" w:rsidRPr="006B348D">
        <w:rPr>
          <w:rFonts w:ascii="Helvetica-Light" w:hAnsi="Helvetica-Light" w:cstheme="minorHAnsi"/>
          <w:sz w:val="16"/>
          <w:szCs w:val="18"/>
          <w:lang w:val="ka-GE"/>
        </w:rPr>
        <w:t>,</w:t>
      </w:r>
      <w:r w:rsidRPr="006B348D">
        <w:rPr>
          <w:rFonts w:ascii="Helvetica-Light" w:hAnsi="Helvetica-Light" w:cstheme="minorHAnsi"/>
          <w:sz w:val="16"/>
          <w:szCs w:val="18"/>
        </w:rPr>
        <w:t xml:space="preserve">657 individuals were registered as homeless and roofless, however, </w:t>
      </w:r>
      <w:proofErr w:type="gramStart"/>
      <w:r w:rsidRPr="006B348D">
        <w:rPr>
          <w:rFonts w:ascii="Helvetica-Light" w:hAnsi="Helvetica-Light" w:cstheme="minorHAnsi"/>
          <w:sz w:val="16"/>
          <w:szCs w:val="18"/>
        </w:rPr>
        <w:t xml:space="preserve">we </w:t>
      </w:r>
      <w:r w:rsidR="006B348D" w:rsidRPr="006B348D">
        <w:rPr>
          <w:rFonts w:ascii="Helvetica-Light" w:hAnsi="Helvetica-Light" w:cstheme="minorHAnsi"/>
          <w:sz w:val="16"/>
          <w:szCs w:val="18"/>
        </w:rPr>
        <w:t xml:space="preserve"> </w:t>
      </w:r>
      <w:r w:rsidRPr="006B348D">
        <w:rPr>
          <w:rFonts w:ascii="Helvetica-Light" w:hAnsi="Helvetica-Light" w:cstheme="minorHAnsi"/>
          <w:sz w:val="16"/>
          <w:szCs w:val="18"/>
        </w:rPr>
        <w:t>cannot</w:t>
      </w:r>
      <w:proofErr w:type="gramEnd"/>
      <w:r w:rsidRPr="006B348D">
        <w:rPr>
          <w:rFonts w:ascii="Helvetica-Light" w:hAnsi="Helvetica-Light" w:cstheme="minorHAnsi"/>
          <w:sz w:val="16"/>
          <w:szCs w:val="18"/>
        </w:rPr>
        <w:t xml:space="preserve"> make more </w:t>
      </w:r>
      <w:r w:rsidR="00FA06EB">
        <w:rPr>
          <w:rFonts w:ascii="Helvetica-Light" w:hAnsi="Helvetica-Light" w:cstheme="minorHAnsi"/>
          <w:sz w:val="16"/>
          <w:szCs w:val="18"/>
        </w:rPr>
        <w:t xml:space="preserve">         </w:t>
      </w:r>
      <w:r w:rsidRPr="006B348D">
        <w:rPr>
          <w:rFonts w:ascii="Helvetica-Light" w:hAnsi="Helvetica-Light" w:cstheme="minorHAnsi"/>
          <w:sz w:val="16"/>
          <w:szCs w:val="18"/>
        </w:rPr>
        <w:t>disaggregated analysis.</w:t>
      </w:r>
    </w:p>
  </w:footnote>
  <w:footnote w:id="8">
    <w:p w14:paraId="76627072" w14:textId="77777777" w:rsidR="006A7572" w:rsidRPr="008B59DE" w:rsidRDefault="006A7572"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E006E2">
        <w:rPr>
          <w:rFonts w:ascii="Helvetica-Light" w:hAnsi="Helvetica-Light" w:cstheme="minorHAnsi"/>
          <w:sz w:val="16"/>
          <w:szCs w:val="18"/>
        </w:rPr>
        <w:t xml:space="preserve"> </w:t>
      </w:r>
      <w:r w:rsidRPr="006B348D">
        <w:rPr>
          <w:rFonts w:ascii="Helvetica-Light" w:hAnsi="Helvetica-Light" w:cstheme="minorHAnsi"/>
          <w:sz w:val="16"/>
          <w:szCs w:val="18"/>
        </w:rPr>
        <w:t xml:space="preserve">According to the representatives of </w:t>
      </w:r>
      <w:proofErr w:type="spellStart"/>
      <w:r w:rsidRPr="006B348D">
        <w:rPr>
          <w:rFonts w:ascii="Helvetica-Light" w:hAnsi="Helvetica-Light" w:cstheme="minorHAnsi"/>
          <w:sz w:val="16"/>
          <w:szCs w:val="18"/>
        </w:rPr>
        <w:t>MoLSHA</w:t>
      </w:r>
      <w:proofErr w:type="spellEnd"/>
      <w:r w:rsidRPr="006B348D">
        <w:rPr>
          <w:rFonts w:ascii="Helvetica-Light" w:hAnsi="Helvetica-Light" w:cstheme="minorHAnsi"/>
          <w:sz w:val="16"/>
          <w:szCs w:val="18"/>
        </w:rPr>
        <w:t>, this is due to the fact that the lack of funds is limiting the acceptance of potential beneficiaries.</w:t>
      </w:r>
    </w:p>
  </w:footnote>
  <w:footnote w:id="9">
    <w:p w14:paraId="3980BFB3" w14:textId="77777777" w:rsidR="00F738DD" w:rsidRPr="006B348D" w:rsidRDefault="00F738DD"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00903EA8">
        <w:rPr>
          <w:rFonts w:ascii="Helvetica-Light" w:hAnsi="Helvetica-Light" w:cstheme="minorHAnsi"/>
          <w:sz w:val="16"/>
          <w:szCs w:val="18"/>
        </w:rPr>
        <w:t xml:space="preserve">  </w:t>
      </w:r>
      <w:r w:rsidRPr="006B348D">
        <w:rPr>
          <w:rFonts w:ascii="Helvetica-Light" w:hAnsi="Helvetica-Light" w:cstheme="minorHAnsi"/>
          <w:sz w:val="16"/>
          <w:szCs w:val="18"/>
          <w:lang w:val="ka-GE"/>
        </w:rPr>
        <w:t xml:space="preserve">17 </w:t>
      </w:r>
      <w:r w:rsidRPr="006B348D">
        <w:rPr>
          <w:rFonts w:ascii="Helvetica-Light" w:hAnsi="Helvetica-Light" w:cstheme="minorHAnsi"/>
          <w:sz w:val="16"/>
          <w:szCs w:val="18"/>
        </w:rPr>
        <w:t>municipalities based on the data under our procession</w:t>
      </w:r>
      <w:r w:rsidR="00265E04" w:rsidRPr="006B348D">
        <w:rPr>
          <w:rFonts w:ascii="Helvetica-Light" w:hAnsi="Helvetica-Light" w:cstheme="minorHAnsi"/>
          <w:sz w:val="16"/>
          <w:szCs w:val="18"/>
        </w:rPr>
        <w:t>.</w:t>
      </w:r>
    </w:p>
  </w:footnote>
  <w:footnote w:id="10">
    <w:p w14:paraId="1B46FA4A" w14:textId="77777777" w:rsidR="009868FA" w:rsidRPr="006B348D" w:rsidRDefault="009868FA"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Pr="006B348D">
        <w:rPr>
          <w:rFonts w:ascii="Helvetica-Light" w:hAnsi="Helvetica-Light" w:cstheme="minorHAnsi"/>
          <w:sz w:val="16"/>
          <w:szCs w:val="18"/>
        </w:rPr>
        <w:t>A more detailed discussion of the issue is provided in the original ISET-PI report.</w:t>
      </w:r>
    </w:p>
  </w:footnote>
  <w:footnote w:id="11">
    <w:p w14:paraId="0CFCAE92" w14:textId="77777777" w:rsidR="00265E04" w:rsidRPr="006B348D" w:rsidRDefault="00265E04"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00903EA8">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Pr="006B348D">
        <w:rPr>
          <w:rFonts w:ascii="Helvetica-Light" w:hAnsi="Helvetica-Light" w:cstheme="minorHAnsi"/>
          <w:sz w:val="16"/>
          <w:szCs w:val="18"/>
          <w:lang w:val="ka-GE"/>
        </w:rPr>
        <w:t>The distant relatives were reckoned to be more than second class heirs, non-heirs and non-relatives of the head of household.</w:t>
      </w:r>
    </w:p>
  </w:footnote>
  <w:footnote w:id="12">
    <w:p w14:paraId="54C1C7AB" w14:textId="1FECA8D1" w:rsidR="00C148BF" w:rsidRPr="006B348D" w:rsidRDefault="00C148BF"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Pr="006B348D">
        <w:rPr>
          <w:rFonts w:ascii="Helvetica-Light" w:hAnsi="Helvetica-Light" w:cstheme="minorHAnsi"/>
          <w:sz w:val="16"/>
          <w:szCs w:val="18"/>
        </w:rPr>
        <w:t>The number of households was estimated from Household Survey Database for 2018 year</w:t>
      </w:r>
      <w:r w:rsidR="00A70049">
        <w:rPr>
          <w:rFonts w:ascii="Helvetica-Light" w:hAnsi="Helvetica-Light" w:cstheme="minorHAnsi"/>
          <w:sz w:val="16"/>
          <w:szCs w:val="18"/>
        </w:rPr>
        <w:t>.</w:t>
      </w:r>
    </w:p>
  </w:footnote>
  <w:footnote w:id="13">
    <w:p w14:paraId="2915C08B" w14:textId="77777777" w:rsidR="008A52F1" w:rsidRPr="006B348D" w:rsidRDefault="008A52F1" w:rsidP="007B673C">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Pr="006B348D">
        <w:rPr>
          <w:rFonts w:ascii="Helvetica-Light" w:hAnsi="Helvetica-Light" w:cstheme="minorHAnsi"/>
          <w:sz w:val="16"/>
          <w:szCs w:val="18"/>
        </w:rPr>
        <w:t xml:space="preserve">According to the agency, the living conditions of these households and individuals has not been changes much over the years. </w:t>
      </w:r>
    </w:p>
  </w:footnote>
  <w:footnote w:id="14">
    <w:p w14:paraId="42884AAB" w14:textId="77777777" w:rsidR="003D6904" w:rsidRDefault="0088601C" w:rsidP="003D6904">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00903EA8">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Pr="006B348D">
        <w:rPr>
          <w:rFonts w:ascii="Helvetica-Light" w:hAnsi="Helvetica-Light" w:cstheme="minorHAnsi"/>
          <w:sz w:val="16"/>
          <w:szCs w:val="18"/>
        </w:rPr>
        <w:t>It may be argued that it is not the number of cases to have increased, but the number of people reporting them. This does not change the</w:t>
      </w:r>
      <w:r w:rsidR="00903EA8">
        <w:rPr>
          <w:rFonts w:ascii="Helvetica-Light" w:hAnsi="Helvetica-Light" w:cstheme="minorHAnsi"/>
          <w:sz w:val="16"/>
          <w:szCs w:val="18"/>
        </w:rPr>
        <w:t xml:space="preserve">                      </w:t>
      </w:r>
    </w:p>
    <w:p w14:paraId="01A5687A" w14:textId="77777777" w:rsidR="0088601C" w:rsidRPr="006B348D" w:rsidRDefault="003D6904" w:rsidP="003D6904">
      <w:pPr>
        <w:pStyle w:val="Testonotaapidipagina"/>
        <w:jc w:val="both"/>
        <w:rPr>
          <w:rFonts w:ascii="Helvetica-Light" w:hAnsi="Helvetica-Light" w:cstheme="minorHAnsi"/>
          <w:sz w:val="16"/>
          <w:szCs w:val="18"/>
        </w:rPr>
      </w:pPr>
      <w:r>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0088601C" w:rsidRPr="006B348D">
        <w:rPr>
          <w:rFonts w:ascii="Helvetica-Light" w:hAnsi="Helvetica-Light" w:cstheme="minorHAnsi"/>
          <w:sz w:val="16"/>
          <w:szCs w:val="18"/>
        </w:rPr>
        <w:t>conclusion that more support is going to be needed.</w:t>
      </w:r>
    </w:p>
  </w:footnote>
  <w:footnote w:id="15">
    <w:p w14:paraId="41A5C871" w14:textId="77777777" w:rsidR="00FA4B6D" w:rsidRPr="007B673C" w:rsidRDefault="00FA4B6D" w:rsidP="007B673C">
      <w:pPr>
        <w:pStyle w:val="Testonotaapidipagina"/>
        <w:jc w:val="both"/>
        <w:rPr>
          <w:rFonts w:cstheme="minorHAnsi"/>
          <w:sz w:val="18"/>
          <w:szCs w:val="18"/>
        </w:rPr>
      </w:pPr>
      <w:r w:rsidRPr="006B348D">
        <w:rPr>
          <w:rStyle w:val="Rimandonotaapidipagina"/>
          <w:rFonts w:ascii="Helvetica-Light" w:hAnsi="Helvetica-Light" w:cstheme="minorHAnsi"/>
          <w:sz w:val="16"/>
          <w:szCs w:val="18"/>
        </w:rPr>
        <w:footnoteRef/>
      </w:r>
      <w:r w:rsidRPr="006B348D">
        <w:rPr>
          <w:rFonts w:ascii="Helvetica-Light" w:hAnsi="Helvetica-Light" w:cstheme="minorHAnsi"/>
          <w:sz w:val="16"/>
          <w:szCs w:val="18"/>
        </w:rPr>
        <w:t xml:space="preserve"> </w:t>
      </w:r>
      <w:r w:rsidR="00762CEE">
        <w:rPr>
          <w:rFonts w:ascii="Helvetica-Light" w:hAnsi="Helvetica-Light" w:cstheme="minorHAnsi"/>
          <w:sz w:val="16"/>
          <w:szCs w:val="18"/>
        </w:rPr>
        <w:t xml:space="preserve"> </w:t>
      </w:r>
      <w:r w:rsidRPr="006B348D">
        <w:rPr>
          <w:rFonts w:ascii="Helvetica-Light" w:hAnsi="Helvetica-Light" w:cstheme="minorHAnsi"/>
          <w:sz w:val="16"/>
          <w:szCs w:val="18"/>
        </w:rPr>
        <w:t>A kid of the victim of the violence (under age 18)</w:t>
      </w:r>
      <w:r w:rsidR="00BC7BE3">
        <w:rPr>
          <w:rFonts w:ascii="Helvetica-Light" w:hAnsi="Helvetica-Light" w:cstheme="minorHAnsi"/>
          <w:sz w:val="16"/>
          <w:szCs w:val="18"/>
        </w:rPr>
        <w:t>.</w:t>
      </w:r>
    </w:p>
  </w:footnote>
  <w:footnote w:id="16">
    <w:p w14:paraId="100772C4" w14:textId="77777777" w:rsidR="00FA21D0" w:rsidRPr="006B348D" w:rsidRDefault="00FA21D0" w:rsidP="005B43F8">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003D6904">
        <w:rPr>
          <w:rFonts w:ascii="Helvetica-Light" w:hAnsi="Helvetica-Light" w:cstheme="minorHAnsi"/>
          <w:sz w:val="16"/>
          <w:szCs w:val="18"/>
        </w:rPr>
        <w:t xml:space="preserve"> </w:t>
      </w:r>
      <w:r w:rsidRPr="006B348D">
        <w:rPr>
          <w:rFonts w:ascii="Helvetica-Light" w:hAnsi="Helvetica-Light" w:cstheme="minorHAnsi"/>
          <w:sz w:val="16"/>
          <w:szCs w:val="18"/>
        </w:rPr>
        <w:t>According to the definition in SD target 11.1, a fit house should be built with a permanent building s</w:t>
      </w:r>
      <w:r w:rsidR="005B43F8">
        <w:rPr>
          <w:rFonts w:ascii="Helvetica-Light" w:hAnsi="Helvetica-Light" w:cstheme="minorHAnsi"/>
          <w:sz w:val="16"/>
          <w:szCs w:val="18"/>
        </w:rPr>
        <w:t xml:space="preserve">tructure, and follow </w:t>
      </w:r>
      <w:r w:rsidR="003D6904">
        <w:rPr>
          <w:rFonts w:ascii="Helvetica-Light" w:hAnsi="Helvetica-Light" w:cstheme="minorHAnsi"/>
          <w:sz w:val="16"/>
          <w:szCs w:val="18"/>
        </w:rPr>
        <w:t xml:space="preserve">prescribed                                                                                                                </w:t>
      </w:r>
      <w:r w:rsidR="005B43F8">
        <w:rPr>
          <w:rFonts w:ascii="Helvetica-Light" w:hAnsi="Helvetica-Light" w:cstheme="minorHAnsi"/>
          <w:sz w:val="16"/>
          <w:szCs w:val="18"/>
        </w:rPr>
        <w:t xml:space="preserve">  </w:t>
      </w:r>
      <w:r w:rsidR="00AF3BAD">
        <w:rPr>
          <w:rFonts w:ascii="Helvetica-Light" w:hAnsi="Helvetica-Light" w:cstheme="minorHAnsi"/>
          <w:sz w:val="16"/>
          <w:szCs w:val="18"/>
        </w:rPr>
        <w:t xml:space="preserve"> </w:t>
      </w:r>
      <w:r w:rsidRPr="006B348D">
        <w:rPr>
          <w:rFonts w:ascii="Helvetica-Light" w:hAnsi="Helvetica-Light" w:cstheme="minorHAnsi"/>
          <w:sz w:val="16"/>
          <w:szCs w:val="18"/>
        </w:rPr>
        <w:t>specifications for toilets and water supply.</w:t>
      </w:r>
      <w:r w:rsidR="0051288D" w:rsidRPr="006B348D">
        <w:rPr>
          <w:rFonts w:ascii="Helvetica-Light" w:hAnsi="Helvetica-Light" w:cstheme="minorHAnsi"/>
          <w:sz w:val="16"/>
          <w:szCs w:val="18"/>
        </w:rPr>
        <w:t xml:space="preserve"> According to the Sustainable </w:t>
      </w:r>
      <w:r w:rsidR="0051288D" w:rsidRPr="006B348D">
        <w:rPr>
          <w:rFonts w:ascii="Helvetica-Light" w:hAnsi="Helvetica-Light" w:cstheme="minorHAnsi"/>
          <w:sz w:val="16"/>
          <w:szCs w:val="18"/>
          <w:lang w:val="en-GB"/>
        </w:rPr>
        <w:t>Development</w:t>
      </w:r>
      <w:r w:rsidR="0051288D" w:rsidRPr="006B348D">
        <w:rPr>
          <w:rFonts w:ascii="Helvetica-Light" w:hAnsi="Helvetica-Light" w:cstheme="minorHAnsi"/>
          <w:sz w:val="16"/>
          <w:szCs w:val="18"/>
        </w:rPr>
        <w:t xml:space="preserve"> Goal 11.1, the overcrowding issue arise when three people </w:t>
      </w:r>
      <w:r w:rsidR="003D6904">
        <w:rPr>
          <w:rFonts w:ascii="Helvetica-Light" w:hAnsi="Helvetica-Light" w:cstheme="minorHAnsi"/>
          <w:sz w:val="16"/>
          <w:szCs w:val="18"/>
        </w:rPr>
        <w:t xml:space="preserve">             </w:t>
      </w:r>
      <w:r w:rsidR="0051288D" w:rsidRPr="006B348D">
        <w:rPr>
          <w:rFonts w:ascii="Helvetica-Light" w:hAnsi="Helvetica-Light" w:cstheme="minorHAnsi"/>
          <w:sz w:val="16"/>
          <w:szCs w:val="18"/>
        </w:rPr>
        <w:t>live in a room with less than 9m</w:t>
      </w:r>
      <w:r w:rsidR="0051288D" w:rsidRPr="006B348D">
        <w:rPr>
          <w:rFonts w:ascii="Helvetica-Light" w:hAnsi="Helvetica-Light" w:cstheme="minorHAnsi"/>
          <w:sz w:val="16"/>
          <w:szCs w:val="18"/>
          <w:vertAlign w:val="superscript"/>
        </w:rPr>
        <w:t>2</w:t>
      </w:r>
      <w:r w:rsidR="0051288D" w:rsidRPr="006B348D">
        <w:rPr>
          <w:rFonts w:ascii="Helvetica-Light" w:hAnsi="Helvetica-Light" w:cstheme="minorHAnsi"/>
          <w:sz w:val="16"/>
          <w:szCs w:val="18"/>
        </w:rPr>
        <w:t xml:space="preserve"> of area.</w:t>
      </w:r>
    </w:p>
  </w:footnote>
  <w:footnote w:id="17">
    <w:p w14:paraId="08CA94BC" w14:textId="1EA07AF9" w:rsidR="00265E04" w:rsidRPr="006B348D" w:rsidRDefault="00265E04" w:rsidP="005B43F8">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003D6904">
        <w:rPr>
          <w:rFonts w:ascii="Helvetica-Light" w:hAnsi="Helvetica-Light" w:cstheme="minorHAnsi"/>
          <w:sz w:val="16"/>
          <w:szCs w:val="18"/>
        </w:rPr>
        <w:t xml:space="preserve"> </w:t>
      </w:r>
      <w:r w:rsidR="00EF7AD6" w:rsidRPr="006B348D">
        <w:rPr>
          <w:rFonts w:ascii="Helvetica-Light" w:hAnsi="Helvetica-Light" w:cstheme="minorHAnsi"/>
          <w:sz w:val="16"/>
          <w:szCs w:val="18"/>
        </w:rPr>
        <w:t>T</w:t>
      </w:r>
      <w:r w:rsidRPr="006B348D">
        <w:rPr>
          <w:rFonts w:ascii="Helvetica-Light" w:hAnsi="Helvetica-Light" w:cstheme="minorHAnsi"/>
          <w:sz w:val="16"/>
          <w:szCs w:val="18"/>
        </w:rPr>
        <w:t xml:space="preserve">he integrated household </w:t>
      </w:r>
      <w:r w:rsidR="00EF7AD6" w:rsidRPr="006B348D">
        <w:rPr>
          <w:rFonts w:ascii="Helvetica-Light" w:hAnsi="Helvetica-Light" w:cstheme="minorHAnsi"/>
          <w:sz w:val="16"/>
          <w:szCs w:val="18"/>
        </w:rPr>
        <w:t>survey includes a</w:t>
      </w:r>
      <w:r w:rsidRPr="006B348D">
        <w:rPr>
          <w:rFonts w:ascii="Helvetica-Light" w:hAnsi="Helvetica-Light" w:cstheme="minorHAnsi"/>
          <w:sz w:val="16"/>
          <w:szCs w:val="18"/>
        </w:rPr>
        <w:t xml:space="preserve"> question about the fitness of </w:t>
      </w:r>
      <w:r w:rsidR="00DC079D" w:rsidRPr="006B348D">
        <w:rPr>
          <w:rFonts w:ascii="Helvetica-Light" w:hAnsi="Helvetica-Light" w:cstheme="minorHAnsi"/>
          <w:sz w:val="16"/>
          <w:szCs w:val="18"/>
        </w:rPr>
        <w:t>households ‘dwellings</w:t>
      </w:r>
      <w:r w:rsidR="00EF7AD6" w:rsidRPr="006B348D">
        <w:rPr>
          <w:rFonts w:ascii="Helvetica-Light" w:hAnsi="Helvetica-Light" w:cstheme="minorHAnsi"/>
          <w:sz w:val="16"/>
          <w:szCs w:val="18"/>
        </w:rPr>
        <w:t xml:space="preserve">. Usually </w:t>
      </w:r>
      <w:r w:rsidRPr="006B348D">
        <w:rPr>
          <w:rFonts w:ascii="Helvetica-Light" w:hAnsi="Helvetica-Light" w:cstheme="minorHAnsi"/>
          <w:sz w:val="16"/>
          <w:szCs w:val="18"/>
        </w:rPr>
        <w:t xml:space="preserve">the most vulnerable groups indicate </w:t>
      </w:r>
      <w:r w:rsidR="003D6904">
        <w:rPr>
          <w:rFonts w:ascii="Helvetica-Light" w:hAnsi="Helvetica-Light" w:cstheme="minorHAnsi"/>
          <w:sz w:val="16"/>
          <w:szCs w:val="18"/>
        </w:rPr>
        <w:t xml:space="preserve">  </w:t>
      </w:r>
      <w:r w:rsidR="00AF3BAD">
        <w:rPr>
          <w:rFonts w:ascii="Helvetica-Light" w:hAnsi="Helvetica-Light" w:cstheme="minorHAnsi"/>
          <w:sz w:val="16"/>
          <w:szCs w:val="18"/>
        </w:rPr>
        <w:t xml:space="preserve"> </w:t>
      </w:r>
      <w:r w:rsidRPr="006B348D">
        <w:rPr>
          <w:rFonts w:ascii="Helvetica-Light" w:hAnsi="Helvetica-Light" w:cstheme="minorHAnsi"/>
          <w:sz w:val="16"/>
          <w:szCs w:val="18"/>
        </w:rPr>
        <w:t>that their houses</w:t>
      </w:r>
      <w:r w:rsidR="00EF7AD6" w:rsidRPr="006B348D">
        <w:rPr>
          <w:rFonts w:ascii="Helvetica-Light" w:hAnsi="Helvetica-Light" w:cstheme="minorHAnsi"/>
          <w:sz w:val="16"/>
          <w:szCs w:val="18"/>
        </w:rPr>
        <w:t xml:space="preserve"> </w:t>
      </w:r>
      <w:r w:rsidR="00DC079D" w:rsidRPr="006B348D">
        <w:rPr>
          <w:rFonts w:ascii="Helvetica-Light" w:hAnsi="Helvetica-Light" w:cstheme="minorHAnsi"/>
          <w:sz w:val="16"/>
          <w:szCs w:val="18"/>
        </w:rPr>
        <w:t>are either</w:t>
      </w:r>
      <w:r w:rsidR="00EF7AD6" w:rsidRPr="006B348D">
        <w:rPr>
          <w:rFonts w:ascii="Helvetica-Light" w:hAnsi="Helvetica-Light" w:cstheme="minorHAnsi"/>
          <w:sz w:val="16"/>
          <w:szCs w:val="18"/>
        </w:rPr>
        <w:t xml:space="preserve"> in need for capital renovation or are at risk of collapse.</w:t>
      </w:r>
    </w:p>
  </w:footnote>
  <w:footnote w:id="18">
    <w:p w14:paraId="5EB8A75E" w14:textId="77777777" w:rsidR="00D60A48" w:rsidRPr="006B348D" w:rsidRDefault="00D60A48" w:rsidP="005B43F8">
      <w:pPr>
        <w:pStyle w:val="Testonotaapidipagina"/>
        <w:jc w:val="both"/>
        <w:rPr>
          <w:rFonts w:ascii="Helvetica-Light" w:hAnsi="Helvetica-Light" w:cstheme="minorHAnsi"/>
          <w:sz w:val="16"/>
          <w:szCs w:val="18"/>
        </w:rPr>
      </w:pPr>
      <w:r w:rsidRPr="006B348D">
        <w:rPr>
          <w:rStyle w:val="Rimandonotaapidipagina"/>
          <w:rFonts w:ascii="Helvetica-Light" w:hAnsi="Helvetica-Light" w:cstheme="minorHAnsi"/>
          <w:sz w:val="16"/>
          <w:szCs w:val="18"/>
        </w:rPr>
        <w:footnoteRef/>
      </w:r>
      <w:r w:rsidR="003D6904">
        <w:rPr>
          <w:rFonts w:ascii="Helvetica-Light" w:hAnsi="Helvetica-Light" w:cstheme="minorHAnsi"/>
          <w:sz w:val="16"/>
          <w:szCs w:val="18"/>
        </w:rPr>
        <w:t xml:space="preserve"> </w:t>
      </w:r>
      <w:r w:rsidRPr="006B348D">
        <w:rPr>
          <w:rFonts w:ascii="Helvetica-Light" w:hAnsi="Helvetica-Light" w:cstheme="minorHAnsi"/>
          <w:sz w:val="16"/>
          <w:szCs w:val="18"/>
        </w:rPr>
        <w:t xml:space="preserve"> Based on UN Habitat definition overcrowding happens if there are more than 3 people per habitable room</w:t>
      </w:r>
      <w:r w:rsidR="00BC7BE3">
        <w:rPr>
          <w:rFonts w:ascii="Helvetica-Light" w:hAnsi="Helvetica-Light" w:cstheme="minorHAnsi"/>
          <w:sz w:val="16"/>
          <w:szCs w:val="18"/>
        </w:rPr>
        <w:t>.</w:t>
      </w:r>
    </w:p>
  </w:footnote>
  <w:footnote w:id="19">
    <w:p w14:paraId="43250995" w14:textId="087C8361" w:rsidR="00390C4F" w:rsidRPr="007F282F" w:rsidRDefault="00390C4F" w:rsidP="00390C4F">
      <w:pPr>
        <w:pStyle w:val="Testonotaapidipagina"/>
        <w:rPr>
          <w:sz w:val="16"/>
          <w:szCs w:val="16"/>
        </w:rPr>
      </w:pPr>
      <w:r w:rsidRPr="00A70049">
        <w:rPr>
          <w:rStyle w:val="Rimandonotaapidipagina"/>
          <w:sz w:val="16"/>
          <w:szCs w:val="16"/>
        </w:rPr>
        <w:footnoteRef/>
      </w:r>
      <w:r>
        <w:t xml:space="preserve"> </w:t>
      </w:r>
      <w:r w:rsidRPr="007F282F">
        <w:rPr>
          <w:sz w:val="16"/>
          <w:szCs w:val="16"/>
        </w:rPr>
        <w:t xml:space="preserve">The share of households exceeding the affordability threshold </w:t>
      </w:r>
      <w:r w:rsidRPr="007F282F">
        <w:rPr>
          <w:rFonts w:cstheme="minorHAnsi"/>
          <w:sz w:val="16"/>
          <w:szCs w:val="16"/>
        </w:rPr>
        <w:t>(</w:t>
      </w:r>
      <w:r w:rsidR="008061BF" w:rsidRPr="007F282F">
        <w:rPr>
          <w:rFonts w:cstheme="minorHAnsi"/>
          <w:sz w:val="16"/>
          <w:szCs w:val="16"/>
        </w:rPr>
        <w:t>(</w:t>
      </w:r>
      <w:r w:rsidRPr="007F282F">
        <w:rPr>
          <w:rFonts w:cstheme="minorHAnsi"/>
          <w:sz w:val="16"/>
          <w:szCs w:val="16"/>
        </w:rPr>
        <w:t>rent</w:t>
      </w:r>
      <w:r w:rsidR="00A70049">
        <w:rPr>
          <w:rFonts w:cstheme="minorHAnsi"/>
          <w:sz w:val="16"/>
          <w:szCs w:val="16"/>
        </w:rPr>
        <w:t xml:space="preserve"> </w:t>
      </w:r>
      <w:r w:rsidRPr="007F282F">
        <w:rPr>
          <w:rFonts w:cstheme="minorHAnsi"/>
          <w:sz w:val="16"/>
          <w:szCs w:val="16"/>
        </w:rPr>
        <w:t>+</w:t>
      </w:r>
      <w:r w:rsidR="00A70049">
        <w:rPr>
          <w:rFonts w:cstheme="minorHAnsi"/>
          <w:sz w:val="16"/>
          <w:szCs w:val="16"/>
        </w:rPr>
        <w:t xml:space="preserve"> </w:t>
      </w:r>
      <w:r w:rsidRPr="007F282F">
        <w:rPr>
          <w:rFonts w:cstheme="minorHAnsi"/>
          <w:sz w:val="16"/>
          <w:szCs w:val="16"/>
        </w:rPr>
        <w:t>housing related expenditures</w:t>
      </w:r>
      <w:r w:rsidR="008061BF" w:rsidRPr="007F282F">
        <w:rPr>
          <w:rFonts w:cstheme="minorHAnsi"/>
          <w:sz w:val="16"/>
          <w:szCs w:val="16"/>
        </w:rPr>
        <w:t>)</w:t>
      </w:r>
      <w:r w:rsidRPr="007F282F">
        <w:rPr>
          <w:rFonts w:cstheme="minorHAnsi"/>
          <w:sz w:val="16"/>
          <w:szCs w:val="16"/>
        </w:rPr>
        <w:t>/income ratio greater than 30%)</w:t>
      </w:r>
    </w:p>
  </w:footnote>
  <w:footnote w:id="20">
    <w:p w14:paraId="7EED7E47" w14:textId="77777777" w:rsidR="00390C4F" w:rsidRPr="007F282F" w:rsidRDefault="00390C4F" w:rsidP="00390C4F">
      <w:pPr>
        <w:pStyle w:val="Testonotaapidipagina"/>
        <w:rPr>
          <w:sz w:val="16"/>
          <w:szCs w:val="16"/>
        </w:rPr>
      </w:pPr>
      <w:r w:rsidRPr="007F282F">
        <w:rPr>
          <w:rStyle w:val="Rimandonotaapidipagina"/>
          <w:sz w:val="16"/>
          <w:szCs w:val="16"/>
        </w:rPr>
        <w:footnoteRef/>
      </w:r>
      <w:r w:rsidRPr="007F282F">
        <w:rPr>
          <w:sz w:val="16"/>
          <w:szCs w:val="16"/>
        </w:rPr>
        <w:t xml:space="preserve"> Self-assessment of fitness status (need for capital renovation and/or at risk of collapse)</w:t>
      </w:r>
    </w:p>
  </w:footnote>
  <w:footnote w:id="21">
    <w:p w14:paraId="7812723C" w14:textId="0D9A758E" w:rsidR="00390C4F" w:rsidRPr="007F282F" w:rsidRDefault="00390C4F" w:rsidP="00390C4F">
      <w:pPr>
        <w:pStyle w:val="Testonotaapidipagina"/>
        <w:tabs>
          <w:tab w:val="left" w:pos="1926"/>
        </w:tabs>
        <w:rPr>
          <w:sz w:val="16"/>
          <w:szCs w:val="16"/>
        </w:rPr>
      </w:pPr>
      <w:r w:rsidRPr="007F282F">
        <w:rPr>
          <w:rStyle w:val="Rimandonotaapidipagina"/>
          <w:sz w:val="16"/>
          <w:szCs w:val="16"/>
        </w:rPr>
        <w:footnoteRef/>
      </w:r>
      <w:r w:rsidRPr="007F282F">
        <w:rPr>
          <w:sz w:val="16"/>
          <w:szCs w:val="16"/>
        </w:rPr>
        <w:t xml:space="preserve"> A situation in which there are more than three people per habitable room (excluding halls, </w:t>
      </w:r>
      <w:proofErr w:type="gramStart"/>
      <w:r w:rsidRPr="007F282F">
        <w:rPr>
          <w:sz w:val="16"/>
          <w:szCs w:val="16"/>
        </w:rPr>
        <w:t>bathroom</w:t>
      </w:r>
      <w:proofErr w:type="gramEnd"/>
      <w:r w:rsidRPr="007F282F">
        <w:rPr>
          <w:sz w:val="16"/>
          <w:szCs w:val="16"/>
        </w:rPr>
        <w:t xml:space="preserve"> and other non-habitable rooms) is assumed to be overcrowded. As younger age children are considered in most papers as half a person, the definition was adopted and applied accordingly to calculate overcrowding indicator.</w:t>
      </w:r>
    </w:p>
  </w:footnote>
  <w:footnote w:id="22">
    <w:p w14:paraId="0603B303" w14:textId="23732D2C" w:rsidR="007E2EBC" w:rsidRPr="007F282F" w:rsidRDefault="007E2EBC" w:rsidP="007F282F">
      <w:pPr>
        <w:spacing w:after="240" w:line="240" w:lineRule="auto"/>
        <w:ind w:left="90"/>
        <w:jc w:val="both"/>
        <w:rPr>
          <w:rFonts w:ascii="Helvetica-Light" w:hAnsi="Helvetica-Light" w:cstheme="minorHAnsi"/>
        </w:rPr>
      </w:pPr>
      <w:r w:rsidRPr="00A70049">
        <w:rPr>
          <w:rStyle w:val="Rimandonotaapidipagina"/>
          <w:sz w:val="16"/>
          <w:szCs w:val="16"/>
        </w:rPr>
        <w:footnoteRef/>
      </w:r>
      <w:r w:rsidRPr="00A70049">
        <w:rPr>
          <w:sz w:val="16"/>
          <w:szCs w:val="16"/>
        </w:rPr>
        <w:t xml:space="preserve"> </w:t>
      </w:r>
      <w:r w:rsidRPr="007F282F">
        <w:rPr>
          <w:sz w:val="16"/>
          <w:szCs w:val="16"/>
        </w:rPr>
        <w:t xml:space="preserve">While in the past the housing conditions of IDP and ecomigrant households were significantly more problematic than for most of the Georgian households, thanks to the prolonged efforts of the Georgian government this seems not to be the case, anymore. </w:t>
      </w:r>
      <w:r w:rsidR="00A85D4A" w:rsidRPr="007F282F">
        <w:rPr>
          <w:sz w:val="16"/>
          <w:szCs w:val="16"/>
        </w:rPr>
        <w:t xml:space="preserve">For example, </w:t>
      </w:r>
      <w:r w:rsidR="00A11926" w:rsidRPr="007F282F">
        <w:rPr>
          <w:sz w:val="16"/>
          <w:szCs w:val="16"/>
        </w:rPr>
        <w:t>the number of households currently living in compact settlements is 22,100, down from</w:t>
      </w:r>
      <w:r w:rsidR="00001C1C" w:rsidRPr="007F282F">
        <w:rPr>
          <w:sz w:val="16"/>
          <w:szCs w:val="16"/>
        </w:rPr>
        <w:t xml:space="preserve"> 85,335 in 2010, and the </w:t>
      </w:r>
      <w:r w:rsidR="00605CF4" w:rsidRPr="007F282F">
        <w:rPr>
          <w:sz w:val="16"/>
          <w:szCs w:val="16"/>
        </w:rPr>
        <w:t xml:space="preserve">government plans to provide </w:t>
      </w:r>
      <w:r w:rsidR="00C1789B" w:rsidRPr="007F282F">
        <w:rPr>
          <w:sz w:val="16"/>
          <w:szCs w:val="16"/>
        </w:rPr>
        <w:t xml:space="preserve">12,000 more households with </w:t>
      </w:r>
      <w:r w:rsidR="000F1A14" w:rsidRPr="007F282F">
        <w:rPr>
          <w:sz w:val="16"/>
          <w:szCs w:val="16"/>
        </w:rPr>
        <w:t>Durable Housing Solutions over the coming 5 years</w:t>
      </w:r>
      <w:r w:rsidR="000F1A14">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912"/>
    <w:multiLevelType w:val="hybridMultilevel"/>
    <w:tmpl w:val="DAE6220C"/>
    <w:lvl w:ilvl="0" w:tplc="A770DD0C">
      <w:start w:val="1"/>
      <w:numFmt w:val="bullet"/>
      <w:lvlText w:val="•"/>
      <w:lvlJc w:val="left"/>
      <w:pPr>
        <w:tabs>
          <w:tab w:val="num" w:pos="720"/>
        </w:tabs>
        <w:ind w:left="720" w:hanging="360"/>
      </w:pPr>
      <w:rPr>
        <w:rFonts w:ascii="Times New Roman" w:hAnsi="Times New Roman" w:hint="default"/>
      </w:rPr>
    </w:lvl>
    <w:lvl w:ilvl="1" w:tplc="D80CF2E6" w:tentative="1">
      <w:start w:val="1"/>
      <w:numFmt w:val="bullet"/>
      <w:lvlText w:val="•"/>
      <w:lvlJc w:val="left"/>
      <w:pPr>
        <w:tabs>
          <w:tab w:val="num" w:pos="1440"/>
        </w:tabs>
        <w:ind w:left="1440" w:hanging="360"/>
      </w:pPr>
      <w:rPr>
        <w:rFonts w:ascii="Times New Roman" w:hAnsi="Times New Roman" w:hint="default"/>
      </w:rPr>
    </w:lvl>
    <w:lvl w:ilvl="2" w:tplc="ED6C03D2" w:tentative="1">
      <w:start w:val="1"/>
      <w:numFmt w:val="bullet"/>
      <w:lvlText w:val="•"/>
      <w:lvlJc w:val="left"/>
      <w:pPr>
        <w:tabs>
          <w:tab w:val="num" w:pos="2160"/>
        </w:tabs>
        <w:ind w:left="2160" w:hanging="360"/>
      </w:pPr>
      <w:rPr>
        <w:rFonts w:ascii="Times New Roman" w:hAnsi="Times New Roman" w:hint="default"/>
      </w:rPr>
    </w:lvl>
    <w:lvl w:ilvl="3" w:tplc="CFA69824" w:tentative="1">
      <w:start w:val="1"/>
      <w:numFmt w:val="bullet"/>
      <w:lvlText w:val="•"/>
      <w:lvlJc w:val="left"/>
      <w:pPr>
        <w:tabs>
          <w:tab w:val="num" w:pos="2880"/>
        </w:tabs>
        <w:ind w:left="2880" w:hanging="360"/>
      </w:pPr>
      <w:rPr>
        <w:rFonts w:ascii="Times New Roman" w:hAnsi="Times New Roman" w:hint="default"/>
      </w:rPr>
    </w:lvl>
    <w:lvl w:ilvl="4" w:tplc="28522154" w:tentative="1">
      <w:start w:val="1"/>
      <w:numFmt w:val="bullet"/>
      <w:lvlText w:val="•"/>
      <w:lvlJc w:val="left"/>
      <w:pPr>
        <w:tabs>
          <w:tab w:val="num" w:pos="3600"/>
        </w:tabs>
        <w:ind w:left="3600" w:hanging="360"/>
      </w:pPr>
      <w:rPr>
        <w:rFonts w:ascii="Times New Roman" w:hAnsi="Times New Roman" w:hint="default"/>
      </w:rPr>
    </w:lvl>
    <w:lvl w:ilvl="5" w:tplc="17C2F162" w:tentative="1">
      <w:start w:val="1"/>
      <w:numFmt w:val="bullet"/>
      <w:lvlText w:val="•"/>
      <w:lvlJc w:val="left"/>
      <w:pPr>
        <w:tabs>
          <w:tab w:val="num" w:pos="4320"/>
        </w:tabs>
        <w:ind w:left="4320" w:hanging="360"/>
      </w:pPr>
      <w:rPr>
        <w:rFonts w:ascii="Times New Roman" w:hAnsi="Times New Roman" w:hint="default"/>
      </w:rPr>
    </w:lvl>
    <w:lvl w:ilvl="6" w:tplc="C5BC57B6" w:tentative="1">
      <w:start w:val="1"/>
      <w:numFmt w:val="bullet"/>
      <w:lvlText w:val="•"/>
      <w:lvlJc w:val="left"/>
      <w:pPr>
        <w:tabs>
          <w:tab w:val="num" w:pos="5040"/>
        </w:tabs>
        <w:ind w:left="5040" w:hanging="360"/>
      </w:pPr>
      <w:rPr>
        <w:rFonts w:ascii="Times New Roman" w:hAnsi="Times New Roman" w:hint="default"/>
      </w:rPr>
    </w:lvl>
    <w:lvl w:ilvl="7" w:tplc="58A89D2C" w:tentative="1">
      <w:start w:val="1"/>
      <w:numFmt w:val="bullet"/>
      <w:lvlText w:val="•"/>
      <w:lvlJc w:val="left"/>
      <w:pPr>
        <w:tabs>
          <w:tab w:val="num" w:pos="5760"/>
        </w:tabs>
        <w:ind w:left="5760" w:hanging="360"/>
      </w:pPr>
      <w:rPr>
        <w:rFonts w:ascii="Times New Roman" w:hAnsi="Times New Roman" w:hint="default"/>
      </w:rPr>
    </w:lvl>
    <w:lvl w:ilvl="8" w:tplc="3C003B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CF54F7"/>
    <w:multiLevelType w:val="hybridMultilevel"/>
    <w:tmpl w:val="10E22C9C"/>
    <w:lvl w:ilvl="0" w:tplc="0410000F">
      <w:start w:val="1"/>
      <w:numFmt w:val="decimal"/>
      <w:lvlText w:val="%1."/>
      <w:lvlJc w:val="left"/>
      <w:pPr>
        <w:ind w:left="720" w:hanging="360"/>
      </w:pPr>
    </w:lvl>
    <w:lvl w:ilvl="1" w:tplc="D632C476">
      <w:start w:val="1"/>
      <w:numFmt w:val="bullet"/>
      <w:lvlText w:val=""/>
      <w:lvlJc w:val="left"/>
      <w:pPr>
        <w:ind w:left="1440" w:hanging="360"/>
      </w:pPr>
      <w:rPr>
        <w:rFonts w:ascii="Symbol" w:hAnsi="Symbol" w:hint="default"/>
        <w:color w:val="002060"/>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9D12DF3"/>
    <w:multiLevelType w:val="hybridMultilevel"/>
    <w:tmpl w:val="2444BFF8"/>
    <w:lvl w:ilvl="0" w:tplc="84949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D2C69"/>
    <w:multiLevelType w:val="hybridMultilevel"/>
    <w:tmpl w:val="5A2A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1C78"/>
    <w:multiLevelType w:val="hybridMultilevel"/>
    <w:tmpl w:val="2CA87F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1AC4B58"/>
    <w:multiLevelType w:val="hybridMultilevel"/>
    <w:tmpl w:val="945ADDAE"/>
    <w:lvl w:ilvl="0" w:tplc="BC3830E2">
      <w:numFmt w:val="bullet"/>
      <w:lvlText w:val="-"/>
      <w:lvlJc w:val="left"/>
      <w:pPr>
        <w:ind w:left="720" w:hanging="360"/>
      </w:pPr>
      <w:rPr>
        <w:rFonts w:ascii="Helvetica-Light" w:eastAsiaTheme="minorHAnsi" w:hAnsi="Helvetica-Ligh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608CE"/>
    <w:multiLevelType w:val="hybridMultilevel"/>
    <w:tmpl w:val="EB1EA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5F2B5C"/>
    <w:multiLevelType w:val="hybridMultilevel"/>
    <w:tmpl w:val="63760400"/>
    <w:lvl w:ilvl="0" w:tplc="3B50F78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363A33"/>
    <w:multiLevelType w:val="hybridMultilevel"/>
    <w:tmpl w:val="F69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744EE"/>
    <w:multiLevelType w:val="hybridMultilevel"/>
    <w:tmpl w:val="2130B0EA"/>
    <w:lvl w:ilvl="0" w:tplc="6FC0B8FA">
      <w:start w:val="1"/>
      <w:numFmt w:val="bullet"/>
      <w:lvlText w:val="•"/>
      <w:lvlJc w:val="left"/>
      <w:pPr>
        <w:tabs>
          <w:tab w:val="num" w:pos="720"/>
        </w:tabs>
        <w:ind w:left="720" w:hanging="360"/>
      </w:pPr>
      <w:rPr>
        <w:rFonts w:ascii="Times New Roman" w:hAnsi="Times New Roman" w:hint="default"/>
      </w:rPr>
    </w:lvl>
    <w:lvl w:ilvl="1" w:tplc="E58846A4" w:tentative="1">
      <w:start w:val="1"/>
      <w:numFmt w:val="bullet"/>
      <w:lvlText w:val="•"/>
      <w:lvlJc w:val="left"/>
      <w:pPr>
        <w:tabs>
          <w:tab w:val="num" w:pos="1440"/>
        </w:tabs>
        <w:ind w:left="1440" w:hanging="360"/>
      </w:pPr>
      <w:rPr>
        <w:rFonts w:ascii="Times New Roman" w:hAnsi="Times New Roman" w:hint="default"/>
      </w:rPr>
    </w:lvl>
    <w:lvl w:ilvl="2" w:tplc="53DC879E" w:tentative="1">
      <w:start w:val="1"/>
      <w:numFmt w:val="bullet"/>
      <w:lvlText w:val="•"/>
      <w:lvlJc w:val="left"/>
      <w:pPr>
        <w:tabs>
          <w:tab w:val="num" w:pos="2160"/>
        </w:tabs>
        <w:ind w:left="2160" w:hanging="360"/>
      </w:pPr>
      <w:rPr>
        <w:rFonts w:ascii="Times New Roman" w:hAnsi="Times New Roman" w:hint="default"/>
      </w:rPr>
    </w:lvl>
    <w:lvl w:ilvl="3" w:tplc="2C9CA966" w:tentative="1">
      <w:start w:val="1"/>
      <w:numFmt w:val="bullet"/>
      <w:lvlText w:val="•"/>
      <w:lvlJc w:val="left"/>
      <w:pPr>
        <w:tabs>
          <w:tab w:val="num" w:pos="2880"/>
        </w:tabs>
        <w:ind w:left="2880" w:hanging="360"/>
      </w:pPr>
      <w:rPr>
        <w:rFonts w:ascii="Times New Roman" w:hAnsi="Times New Roman" w:hint="default"/>
      </w:rPr>
    </w:lvl>
    <w:lvl w:ilvl="4" w:tplc="3F889D04" w:tentative="1">
      <w:start w:val="1"/>
      <w:numFmt w:val="bullet"/>
      <w:lvlText w:val="•"/>
      <w:lvlJc w:val="left"/>
      <w:pPr>
        <w:tabs>
          <w:tab w:val="num" w:pos="3600"/>
        </w:tabs>
        <w:ind w:left="3600" w:hanging="360"/>
      </w:pPr>
      <w:rPr>
        <w:rFonts w:ascii="Times New Roman" w:hAnsi="Times New Roman" w:hint="default"/>
      </w:rPr>
    </w:lvl>
    <w:lvl w:ilvl="5" w:tplc="2C94B646" w:tentative="1">
      <w:start w:val="1"/>
      <w:numFmt w:val="bullet"/>
      <w:lvlText w:val="•"/>
      <w:lvlJc w:val="left"/>
      <w:pPr>
        <w:tabs>
          <w:tab w:val="num" w:pos="4320"/>
        </w:tabs>
        <w:ind w:left="4320" w:hanging="360"/>
      </w:pPr>
      <w:rPr>
        <w:rFonts w:ascii="Times New Roman" w:hAnsi="Times New Roman" w:hint="default"/>
      </w:rPr>
    </w:lvl>
    <w:lvl w:ilvl="6" w:tplc="11EE364C" w:tentative="1">
      <w:start w:val="1"/>
      <w:numFmt w:val="bullet"/>
      <w:lvlText w:val="•"/>
      <w:lvlJc w:val="left"/>
      <w:pPr>
        <w:tabs>
          <w:tab w:val="num" w:pos="5040"/>
        </w:tabs>
        <w:ind w:left="5040" w:hanging="360"/>
      </w:pPr>
      <w:rPr>
        <w:rFonts w:ascii="Times New Roman" w:hAnsi="Times New Roman" w:hint="default"/>
      </w:rPr>
    </w:lvl>
    <w:lvl w:ilvl="7" w:tplc="500AE0A8" w:tentative="1">
      <w:start w:val="1"/>
      <w:numFmt w:val="bullet"/>
      <w:lvlText w:val="•"/>
      <w:lvlJc w:val="left"/>
      <w:pPr>
        <w:tabs>
          <w:tab w:val="num" w:pos="5760"/>
        </w:tabs>
        <w:ind w:left="5760" w:hanging="360"/>
      </w:pPr>
      <w:rPr>
        <w:rFonts w:ascii="Times New Roman" w:hAnsi="Times New Roman" w:hint="default"/>
      </w:rPr>
    </w:lvl>
    <w:lvl w:ilvl="8" w:tplc="10723F7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9"/>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2"/>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C6"/>
    <w:rsid w:val="0000167D"/>
    <w:rsid w:val="00001C1C"/>
    <w:rsid w:val="00006B54"/>
    <w:rsid w:val="000076DD"/>
    <w:rsid w:val="000154C6"/>
    <w:rsid w:val="0003281C"/>
    <w:rsid w:val="00036AD7"/>
    <w:rsid w:val="00037180"/>
    <w:rsid w:val="000537C6"/>
    <w:rsid w:val="0006231F"/>
    <w:rsid w:val="0006287C"/>
    <w:rsid w:val="00073B7E"/>
    <w:rsid w:val="00073FAF"/>
    <w:rsid w:val="00074D64"/>
    <w:rsid w:val="00075B51"/>
    <w:rsid w:val="00093A8C"/>
    <w:rsid w:val="00096BAB"/>
    <w:rsid w:val="000A36BA"/>
    <w:rsid w:val="000A4750"/>
    <w:rsid w:val="000B18F4"/>
    <w:rsid w:val="000D5341"/>
    <w:rsid w:val="000D576C"/>
    <w:rsid w:val="000D72C6"/>
    <w:rsid w:val="000E2452"/>
    <w:rsid w:val="000E4DB6"/>
    <w:rsid w:val="000F1A14"/>
    <w:rsid w:val="000F42A1"/>
    <w:rsid w:val="000F4E2E"/>
    <w:rsid w:val="00113928"/>
    <w:rsid w:val="0011407D"/>
    <w:rsid w:val="0012175D"/>
    <w:rsid w:val="001252E9"/>
    <w:rsid w:val="0013139E"/>
    <w:rsid w:val="00136459"/>
    <w:rsid w:val="00142BB8"/>
    <w:rsid w:val="00146328"/>
    <w:rsid w:val="00175C20"/>
    <w:rsid w:val="0019114B"/>
    <w:rsid w:val="001D1FF9"/>
    <w:rsid w:val="001F647E"/>
    <w:rsid w:val="002050BC"/>
    <w:rsid w:val="00205C6D"/>
    <w:rsid w:val="00210B78"/>
    <w:rsid w:val="002247A3"/>
    <w:rsid w:val="0022565F"/>
    <w:rsid w:val="002315AE"/>
    <w:rsid w:val="002356D3"/>
    <w:rsid w:val="0023621C"/>
    <w:rsid w:val="00250F8B"/>
    <w:rsid w:val="00255CC4"/>
    <w:rsid w:val="002647B1"/>
    <w:rsid w:val="00265E04"/>
    <w:rsid w:val="00277FAD"/>
    <w:rsid w:val="00281390"/>
    <w:rsid w:val="00287D05"/>
    <w:rsid w:val="002929E3"/>
    <w:rsid w:val="00294874"/>
    <w:rsid w:val="00295CBE"/>
    <w:rsid w:val="00296CE0"/>
    <w:rsid w:val="002B4F15"/>
    <w:rsid w:val="002C0EB4"/>
    <w:rsid w:val="002D611D"/>
    <w:rsid w:val="002F1D20"/>
    <w:rsid w:val="002F5177"/>
    <w:rsid w:val="002F577A"/>
    <w:rsid w:val="0031465A"/>
    <w:rsid w:val="00321FA5"/>
    <w:rsid w:val="0033322C"/>
    <w:rsid w:val="00345D2F"/>
    <w:rsid w:val="00346AC1"/>
    <w:rsid w:val="00374CCB"/>
    <w:rsid w:val="003825E5"/>
    <w:rsid w:val="00383BE9"/>
    <w:rsid w:val="00390C4F"/>
    <w:rsid w:val="00392B4D"/>
    <w:rsid w:val="003B3673"/>
    <w:rsid w:val="003B5AFE"/>
    <w:rsid w:val="003D115F"/>
    <w:rsid w:val="003D3028"/>
    <w:rsid w:val="003D6904"/>
    <w:rsid w:val="003E0FD3"/>
    <w:rsid w:val="003F4EAD"/>
    <w:rsid w:val="003F5612"/>
    <w:rsid w:val="00400E49"/>
    <w:rsid w:val="00410B7E"/>
    <w:rsid w:val="00431BED"/>
    <w:rsid w:val="00435A8B"/>
    <w:rsid w:val="004445C5"/>
    <w:rsid w:val="00445565"/>
    <w:rsid w:val="00450F09"/>
    <w:rsid w:val="0045410D"/>
    <w:rsid w:val="00454C9A"/>
    <w:rsid w:val="00481551"/>
    <w:rsid w:val="004823D9"/>
    <w:rsid w:val="00490217"/>
    <w:rsid w:val="00494616"/>
    <w:rsid w:val="004B2EBE"/>
    <w:rsid w:val="004B7035"/>
    <w:rsid w:val="004C1AD2"/>
    <w:rsid w:val="004D0591"/>
    <w:rsid w:val="004D3DAA"/>
    <w:rsid w:val="004E0CB9"/>
    <w:rsid w:val="004F2219"/>
    <w:rsid w:val="004F7716"/>
    <w:rsid w:val="00501EE8"/>
    <w:rsid w:val="00505406"/>
    <w:rsid w:val="00507FFD"/>
    <w:rsid w:val="00510A60"/>
    <w:rsid w:val="0051178F"/>
    <w:rsid w:val="0051288D"/>
    <w:rsid w:val="00542698"/>
    <w:rsid w:val="00556BDD"/>
    <w:rsid w:val="00586628"/>
    <w:rsid w:val="00587ED3"/>
    <w:rsid w:val="00597433"/>
    <w:rsid w:val="005A0EAC"/>
    <w:rsid w:val="005A7053"/>
    <w:rsid w:val="005A7472"/>
    <w:rsid w:val="005B43F8"/>
    <w:rsid w:val="005C6539"/>
    <w:rsid w:val="005D2FA6"/>
    <w:rsid w:val="005F58FC"/>
    <w:rsid w:val="005F780C"/>
    <w:rsid w:val="00602945"/>
    <w:rsid w:val="00603006"/>
    <w:rsid w:val="00605CF4"/>
    <w:rsid w:val="00615F91"/>
    <w:rsid w:val="006217BF"/>
    <w:rsid w:val="0063295C"/>
    <w:rsid w:val="00636393"/>
    <w:rsid w:val="00643B3A"/>
    <w:rsid w:val="00646254"/>
    <w:rsid w:val="00650045"/>
    <w:rsid w:val="00651874"/>
    <w:rsid w:val="00665DD2"/>
    <w:rsid w:val="00673BC3"/>
    <w:rsid w:val="006A0049"/>
    <w:rsid w:val="006A7572"/>
    <w:rsid w:val="006B348D"/>
    <w:rsid w:val="006B5DAF"/>
    <w:rsid w:val="006C585F"/>
    <w:rsid w:val="006F3632"/>
    <w:rsid w:val="006F575F"/>
    <w:rsid w:val="00713C08"/>
    <w:rsid w:val="0072187D"/>
    <w:rsid w:val="0072514B"/>
    <w:rsid w:val="00734732"/>
    <w:rsid w:val="00742877"/>
    <w:rsid w:val="00752A3D"/>
    <w:rsid w:val="0075488A"/>
    <w:rsid w:val="00762CEE"/>
    <w:rsid w:val="00766A83"/>
    <w:rsid w:val="007725B4"/>
    <w:rsid w:val="00775FF9"/>
    <w:rsid w:val="0078121D"/>
    <w:rsid w:val="00781542"/>
    <w:rsid w:val="00784925"/>
    <w:rsid w:val="007A151D"/>
    <w:rsid w:val="007A239F"/>
    <w:rsid w:val="007A601B"/>
    <w:rsid w:val="007B673C"/>
    <w:rsid w:val="007C4D77"/>
    <w:rsid w:val="007D79EC"/>
    <w:rsid w:val="007E2D71"/>
    <w:rsid w:val="007E2EBC"/>
    <w:rsid w:val="007F282F"/>
    <w:rsid w:val="00802ABE"/>
    <w:rsid w:val="008061BF"/>
    <w:rsid w:val="00817C47"/>
    <w:rsid w:val="008224F3"/>
    <w:rsid w:val="0082661F"/>
    <w:rsid w:val="00856414"/>
    <w:rsid w:val="00857F9E"/>
    <w:rsid w:val="00864BD4"/>
    <w:rsid w:val="0088601C"/>
    <w:rsid w:val="00896D6D"/>
    <w:rsid w:val="008A52F1"/>
    <w:rsid w:val="008B59DE"/>
    <w:rsid w:val="008B76D9"/>
    <w:rsid w:val="008D2332"/>
    <w:rsid w:val="008D3A18"/>
    <w:rsid w:val="008E2C37"/>
    <w:rsid w:val="008E3115"/>
    <w:rsid w:val="008F2DE6"/>
    <w:rsid w:val="009014E4"/>
    <w:rsid w:val="00901DE0"/>
    <w:rsid w:val="0090250F"/>
    <w:rsid w:val="00903EA8"/>
    <w:rsid w:val="00907D28"/>
    <w:rsid w:val="009159F6"/>
    <w:rsid w:val="00922293"/>
    <w:rsid w:val="00926D9F"/>
    <w:rsid w:val="009428AB"/>
    <w:rsid w:val="00942F94"/>
    <w:rsid w:val="00957334"/>
    <w:rsid w:val="00960005"/>
    <w:rsid w:val="0096088D"/>
    <w:rsid w:val="00961103"/>
    <w:rsid w:val="0097573F"/>
    <w:rsid w:val="009759A2"/>
    <w:rsid w:val="00982B54"/>
    <w:rsid w:val="00985C33"/>
    <w:rsid w:val="009868FA"/>
    <w:rsid w:val="009907ED"/>
    <w:rsid w:val="009A1C7F"/>
    <w:rsid w:val="009A3DA5"/>
    <w:rsid w:val="009B70E2"/>
    <w:rsid w:val="009D35AB"/>
    <w:rsid w:val="009D6E30"/>
    <w:rsid w:val="009E2956"/>
    <w:rsid w:val="009E2B52"/>
    <w:rsid w:val="009E50AA"/>
    <w:rsid w:val="009F6D02"/>
    <w:rsid w:val="00A11926"/>
    <w:rsid w:val="00A122E3"/>
    <w:rsid w:val="00A15833"/>
    <w:rsid w:val="00A63793"/>
    <w:rsid w:val="00A66B18"/>
    <w:rsid w:val="00A671A3"/>
    <w:rsid w:val="00A70049"/>
    <w:rsid w:val="00A71D4C"/>
    <w:rsid w:val="00A85D4A"/>
    <w:rsid w:val="00A94CA4"/>
    <w:rsid w:val="00AA49B4"/>
    <w:rsid w:val="00AC3FDA"/>
    <w:rsid w:val="00AD0D8F"/>
    <w:rsid w:val="00AD1F80"/>
    <w:rsid w:val="00AE2834"/>
    <w:rsid w:val="00AE6740"/>
    <w:rsid w:val="00AF111C"/>
    <w:rsid w:val="00AF3BAD"/>
    <w:rsid w:val="00B02944"/>
    <w:rsid w:val="00B03A03"/>
    <w:rsid w:val="00B107E7"/>
    <w:rsid w:val="00B11425"/>
    <w:rsid w:val="00B15271"/>
    <w:rsid w:val="00B34BE1"/>
    <w:rsid w:val="00B65F6E"/>
    <w:rsid w:val="00B66228"/>
    <w:rsid w:val="00B67E6A"/>
    <w:rsid w:val="00B76290"/>
    <w:rsid w:val="00B861C5"/>
    <w:rsid w:val="00B87DA1"/>
    <w:rsid w:val="00B93442"/>
    <w:rsid w:val="00BA5744"/>
    <w:rsid w:val="00BB0BB6"/>
    <w:rsid w:val="00BC2F39"/>
    <w:rsid w:val="00BC7BE3"/>
    <w:rsid w:val="00BD1D80"/>
    <w:rsid w:val="00BD5B14"/>
    <w:rsid w:val="00BF1304"/>
    <w:rsid w:val="00BF3486"/>
    <w:rsid w:val="00C11102"/>
    <w:rsid w:val="00C123C2"/>
    <w:rsid w:val="00C148BF"/>
    <w:rsid w:val="00C1789B"/>
    <w:rsid w:val="00C2090D"/>
    <w:rsid w:val="00C33D3A"/>
    <w:rsid w:val="00C35458"/>
    <w:rsid w:val="00C35492"/>
    <w:rsid w:val="00C3760E"/>
    <w:rsid w:val="00C53653"/>
    <w:rsid w:val="00C806D9"/>
    <w:rsid w:val="00C939CE"/>
    <w:rsid w:val="00C96017"/>
    <w:rsid w:val="00CA29CA"/>
    <w:rsid w:val="00CA3114"/>
    <w:rsid w:val="00CC20EF"/>
    <w:rsid w:val="00CD0671"/>
    <w:rsid w:val="00D006D4"/>
    <w:rsid w:val="00D048E8"/>
    <w:rsid w:val="00D10BB0"/>
    <w:rsid w:val="00D143A2"/>
    <w:rsid w:val="00D33388"/>
    <w:rsid w:val="00D3583C"/>
    <w:rsid w:val="00D418F7"/>
    <w:rsid w:val="00D60A48"/>
    <w:rsid w:val="00D624CC"/>
    <w:rsid w:val="00D63926"/>
    <w:rsid w:val="00D66D2A"/>
    <w:rsid w:val="00D7008A"/>
    <w:rsid w:val="00D73B71"/>
    <w:rsid w:val="00D742B7"/>
    <w:rsid w:val="00D83853"/>
    <w:rsid w:val="00D87BF2"/>
    <w:rsid w:val="00DB49E6"/>
    <w:rsid w:val="00DC079D"/>
    <w:rsid w:val="00DC1021"/>
    <w:rsid w:val="00DD046C"/>
    <w:rsid w:val="00DE4A01"/>
    <w:rsid w:val="00DF3423"/>
    <w:rsid w:val="00E006E2"/>
    <w:rsid w:val="00E02EA0"/>
    <w:rsid w:val="00E057C0"/>
    <w:rsid w:val="00E117A7"/>
    <w:rsid w:val="00E20A3E"/>
    <w:rsid w:val="00E2105F"/>
    <w:rsid w:val="00E21AA8"/>
    <w:rsid w:val="00E21C61"/>
    <w:rsid w:val="00E27158"/>
    <w:rsid w:val="00E523F9"/>
    <w:rsid w:val="00E5252E"/>
    <w:rsid w:val="00E57A75"/>
    <w:rsid w:val="00E6387E"/>
    <w:rsid w:val="00E64A74"/>
    <w:rsid w:val="00E70BF8"/>
    <w:rsid w:val="00E71129"/>
    <w:rsid w:val="00EA2922"/>
    <w:rsid w:val="00EB28EF"/>
    <w:rsid w:val="00EC00D0"/>
    <w:rsid w:val="00EC01DE"/>
    <w:rsid w:val="00EC3108"/>
    <w:rsid w:val="00EC42FA"/>
    <w:rsid w:val="00EC59B7"/>
    <w:rsid w:val="00EC74CA"/>
    <w:rsid w:val="00ED0272"/>
    <w:rsid w:val="00ED5346"/>
    <w:rsid w:val="00EF7AD6"/>
    <w:rsid w:val="00F10F30"/>
    <w:rsid w:val="00F35D06"/>
    <w:rsid w:val="00F41CEA"/>
    <w:rsid w:val="00F426E4"/>
    <w:rsid w:val="00F54BC1"/>
    <w:rsid w:val="00F577F7"/>
    <w:rsid w:val="00F738DD"/>
    <w:rsid w:val="00F83817"/>
    <w:rsid w:val="00F90A47"/>
    <w:rsid w:val="00F933A4"/>
    <w:rsid w:val="00FA06EB"/>
    <w:rsid w:val="00FA21D0"/>
    <w:rsid w:val="00FA4B6D"/>
    <w:rsid w:val="00FB34A8"/>
    <w:rsid w:val="00FC0FA2"/>
    <w:rsid w:val="00FF489F"/>
    <w:rsid w:val="00FF7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B8AA2"/>
  <w15:docId w15:val="{8220B3A3-CE1E-44E0-A7BE-272BC413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565"/>
  </w:style>
  <w:style w:type="paragraph" w:styleId="Titolo1">
    <w:name w:val="heading 1"/>
    <w:basedOn w:val="Normale"/>
    <w:next w:val="Normale"/>
    <w:link w:val="Titolo1Carattere"/>
    <w:uiPriority w:val="9"/>
    <w:qFormat/>
    <w:rsid w:val="007A15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A15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5565"/>
    <w:pPr>
      <w:ind w:left="720"/>
      <w:contextualSpacing/>
    </w:pPr>
  </w:style>
  <w:style w:type="paragraph" w:styleId="NormaleWeb">
    <w:name w:val="Normal (Web)"/>
    <w:basedOn w:val="Normale"/>
    <w:uiPriority w:val="99"/>
    <w:semiHidden/>
    <w:unhideWhenUsed/>
    <w:rsid w:val="000F42A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11">
    <w:name w:val="Grid Table 1 Light - Accent 11"/>
    <w:basedOn w:val="Tabellanormale"/>
    <w:uiPriority w:val="46"/>
    <w:rsid w:val="000F42A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stonotaapidipagina">
    <w:name w:val="footnote text"/>
    <w:basedOn w:val="Normale"/>
    <w:link w:val="TestonotaapidipaginaCarattere"/>
    <w:uiPriority w:val="99"/>
    <w:unhideWhenUsed/>
    <w:rsid w:val="000F42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F42A1"/>
    <w:rPr>
      <w:sz w:val="20"/>
      <w:szCs w:val="20"/>
    </w:rPr>
  </w:style>
  <w:style w:type="character" w:styleId="Rimandonotaapidipagina">
    <w:name w:val="footnote reference"/>
    <w:basedOn w:val="Carpredefinitoparagrafo"/>
    <w:uiPriority w:val="99"/>
    <w:unhideWhenUsed/>
    <w:rsid w:val="000F42A1"/>
    <w:rPr>
      <w:vertAlign w:val="superscript"/>
    </w:rPr>
  </w:style>
  <w:style w:type="character" w:customStyle="1" w:styleId="Titolo1Carattere">
    <w:name w:val="Titolo 1 Carattere"/>
    <w:basedOn w:val="Carpredefinitoparagrafo"/>
    <w:link w:val="Titolo1"/>
    <w:uiPriority w:val="9"/>
    <w:rsid w:val="007A151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A151D"/>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7A151D"/>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A151D"/>
  </w:style>
  <w:style w:type="paragraph" w:styleId="Pidipagina">
    <w:name w:val="footer"/>
    <w:basedOn w:val="Normale"/>
    <w:link w:val="PidipaginaCarattere"/>
    <w:uiPriority w:val="99"/>
    <w:unhideWhenUsed/>
    <w:rsid w:val="007A151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A151D"/>
  </w:style>
  <w:style w:type="paragraph" w:styleId="Nessunaspaziatura">
    <w:name w:val="No Spacing"/>
    <w:uiPriority w:val="1"/>
    <w:qFormat/>
    <w:rsid w:val="007A151D"/>
    <w:pPr>
      <w:spacing w:after="0" w:line="240" w:lineRule="auto"/>
    </w:pPr>
  </w:style>
  <w:style w:type="character" w:styleId="Rimandocommento">
    <w:name w:val="annotation reference"/>
    <w:basedOn w:val="Carpredefinitoparagrafo"/>
    <w:uiPriority w:val="99"/>
    <w:semiHidden/>
    <w:unhideWhenUsed/>
    <w:rsid w:val="00D66D2A"/>
    <w:rPr>
      <w:sz w:val="16"/>
      <w:szCs w:val="16"/>
    </w:rPr>
  </w:style>
  <w:style w:type="paragraph" w:styleId="Testocommento">
    <w:name w:val="annotation text"/>
    <w:basedOn w:val="Normale"/>
    <w:link w:val="TestocommentoCarattere"/>
    <w:uiPriority w:val="99"/>
    <w:semiHidden/>
    <w:unhideWhenUsed/>
    <w:rsid w:val="00D66D2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6D2A"/>
    <w:rPr>
      <w:sz w:val="20"/>
      <w:szCs w:val="20"/>
    </w:rPr>
  </w:style>
  <w:style w:type="paragraph" w:styleId="Soggettocommento">
    <w:name w:val="annotation subject"/>
    <w:basedOn w:val="Testocommento"/>
    <w:next w:val="Testocommento"/>
    <w:link w:val="SoggettocommentoCarattere"/>
    <w:uiPriority w:val="99"/>
    <w:semiHidden/>
    <w:unhideWhenUsed/>
    <w:rsid w:val="00D66D2A"/>
    <w:rPr>
      <w:b/>
      <w:bCs/>
    </w:rPr>
  </w:style>
  <w:style w:type="character" w:customStyle="1" w:styleId="SoggettocommentoCarattere">
    <w:name w:val="Soggetto commento Carattere"/>
    <w:basedOn w:val="TestocommentoCarattere"/>
    <w:link w:val="Soggettocommento"/>
    <w:uiPriority w:val="99"/>
    <w:semiHidden/>
    <w:rsid w:val="00D66D2A"/>
    <w:rPr>
      <w:b/>
      <w:bCs/>
      <w:sz w:val="20"/>
      <w:szCs w:val="20"/>
    </w:rPr>
  </w:style>
  <w:style w:type="paragraph" w:styleId="Testofumetto">
    <w:name w:val="Balloon Text"/>
    <w:basedOn w:val="Normale"/>
    <w:link w:val="TestofumettoCarattere"/>
    <w:uiPriority w:val="99"/>
    <w:semiHidden/>
    <w:unhideWhenUsed/>
    <w:rsid w:val="00D66D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6D2A"/>
    <w:rPr>
      <w:rFonts w:ascii="Segoe UI" w:hAnsi="Segoe UI" w:cs="Segoe UI"/>
      <w:sz w:val="18"/>
      <w:szCs w:val="18"/>
    </w:rPr>
  </w:style>
  <w:style w:type="paragraph" w:styleId="Indicedellefigure">
    <w:name w:val="table of figures"/>
    <w:basedOn w:val="Normale"/>
    <w:next w:val="Normale"/>
    <w:uiPriority w:val="99"/>
    <w:unhideWhenUsed/>
    <w:rsid w:val="000E2452"/>
    <w:pPr>
      <w:spacing w:after="0"/>
    </w:pPr>
  </w:style>
  <w:style w:type="character" w:styleId="Collegamentoipertestuale">
    <w:name w:val="Hyperlink"/>
    <w:basedOn w:val="Carpredefinitoparagrafo"/>
    <w:uiPriority w:val="99"/>
    <w:unhideWhenUsed/>
    <w:rsid w:val="000E2452"/>
    <w:rPr>
      <w:color w:val="0563C1" w:themeColor="hyperlink"/>
      <w:u w:val="single"/>
    </w:rPr>
  </w:style>
  <w:style w:type="paragraph" w:styleId="Didascalia">
    <w:name w:val="caption"/>
    <w:basedOn w:val="Normale"/>
    <w:next w:val="Normale"/>
    <w:uiPriority w:val="35"/>
    <w:unhideWhenUsed/>
    <w:qFormat/>
    <w:rsid w:val="000E2452"/>
    <w:pPr>
      <w:spacing w:after="200" w:line="240" w:lineRule="auto"/>
    </w:pPr>
    <w:rPr>
      <w:i/>
      <w:iCs/>
      <w:color w:val="44546A" w:themeColor="text2"/>
      <w:sz w:val="18"/>
      <w:szCs w:val="18"/>
    </w:rPr>
  </w:style>
  <w:style w:type="paragraph" w:styleId="Titolo">
    <w:name w:val="Title"/>
    <w:basedOn w:val="Normale"/>
    <w:next w:val="Normale"/>
    <w:link w:val="TitoloCarattere"/>
    <w:uiPriority w:val="10"/>
    <w:qFormat/>
    <w:rsid w:val="007B67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B673C"/>
    <w:rPr>
      <w:rFonts w:asciiTheme="majorHAnsi" w:eastAsiaTheme="majorEastAsia" w:hAnsiTheme="majorHAnsi" w:cstheme="majorBidi"/>
      <w:spacing w:val="-10"/>
      <w:kern w:val="28"/>
      <w:sz w:val="56"/>
      <w:szCs w:val="56"/>
    </w:rPr>
  </w:style>
  <w:style w:type="table" w:styleId="Tabellagriglia1chiara-colore1">
    <w:name w:val="Grid Table 1 Light Accent 1"/>
    <w:basedOn w:val="Tabellanormale"/>
    <w:uiPriority w:val="46"/>
    <w:rsid w:val="00DF342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gliatabella">
    <w:name w:val="Table Grid"/>
    <w:basedOn w:val="Tabellanormale"/>
    <w:uiPriority w:val="39"/>
    <w:rsid w:val="0039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60133">
      <w:bodyDiv w:val="1"/>
      <w:marLeft w:val="0"/>
      <w:marRight w:val="0"/>
      <w:marTop w:val="0"/>
      <w:marBottom w:val="0"/>
      <w:divBdr>
        <w:top w:val="none" w:sz="0" w:space="0" w:color="auto"/>
        <w:left w:val="none" w:sz="0" w:space="0" w:color="auto"/>
        <w:bottom w:val="none" w:sz="0" w:space="0" w:color="auto"/>
        <w:right w:val="none" w:sz="0" w:space="0" w:color="auto"/>
      </w:divBdr>
    </w:div>
    <w:div w:id="187181396">
      <w:bodyDiv w:val="1"/>
      <w:marLeft w:val="0"/>
      <w:marRight w:val="0"/>
      <w:marTop w:val="0"/>
      <w:marBottom w:val="0"/>
      <w:divBdr>
        <w:top w:val="none" w:sz="0" w:space="0" w:color="auto"/>
        <w:left w:val="none" w:sz="0" w:space="0" w:color="auto"/>
        <w:bottom w:val="none" w:sz="0" w:space="0" w:color="auto"/>
        <w:right w:val="none" w:sz="0" w:space="0" w:color="auto"/>
      </w:divBdr>
      <w:divsChild>
        <w:div w:id="1644698976">
          <w:marLeft w:val="547"/>
          <w:marRight w:val="0"/>
          <w:marTop w:val="115"/>
          <w:marBottom w:val="0"/>
          <w:divBdr>
            <w:top w:val="none" w:sz="0" w:space="0" w:color="auto"/>
            <w:left w:val="none" w:sz="0" w:space="0" w:color="auto"/>
            <w:bottom w:val="none" w:sz="0" w:space="0" w:color="auto"/>
            <w:right w:val="none" w:sz="0" w:space="0" w:color="auto"/>
          </w:divBdr>
        </w:div>
      </w:divsChild>
    </w:div>
    <w:div w:id="200941154">
      <w:bodyDiv w:val="1"/>
      <w:marLeft w:val="0"/>
      <w:marRight w:val="0"/>
      <w:marTop w:val="0"/>
      <w:marBottom w:val="0"/>
      <w:divBdr>
        <w:top w:val="none" w:sz="0" w:space="0" w:color="auto"/>
        <w:left w:val="none" w:sz="0" w:space="0" w:color="auto"/>
        <w:bottom w:val="none" w:sz="0" w:space="0" w:color="auto"/>
        <w:right w:val="none" w:sz="0" w:space="0" w:color="auto"/>
      </w:divBdr>
    </w:div>
    <w:div w:id="244801763">
      <w:bodyDiv w:val="1"/>
      <w:marLeft w:val="0"/>
      <w:marRight w:val="0"/>
      <w:marTop w:val="0"/>
      <w:marBottom w:val="0"/>
      <w:divBdr>
        <w:top w:val="none" w:sz="0" w:space="0" w:color="auto"/>
        <w:left w:val="none" w:sz="0" w:space="0" w:color="auto"/>
        <w:bottom w:val="none" w:sz="0" w:space="0" w:color="auto"/>
        <w:right w:val="none" w:sz="0" w:space="0" w:color="auto"/>
      </w:divBdr>
    </w:div>
    <w:div w:id="252472296">
      <w:bodyDiv w:val="1"/>
      <w:marLeft w:val="0"/>
      <w:marRight w:val="0"/>
      <w:marTop w:val="0"/>
      <w:marBottom w:val="0"/>
      <w:divBdr>
        <w:top w:val="none" w:sz="0" w:space="0" w:color="auto"/>
        <w:left w:val="none" w:sz="0" w:space="0" w:color="auto"/>
        <w:bottom w:val="none" w:sz="0" w:space="0" w:color="auto"/>
        <w:right w:val="none" w:sz="0" w:space="0" w:color="auto"/>
      </w:divBdr>
    </w:div>
    <w:div w:id="315649896">
      <w:bodyDiv w:val="1"/>
      <w:marLeft w:val="0"/>
      <w:marRight w:val="0"/>
      <w:marTop w:val="0"/>
      <w:marBottom w:val="0"/>
      <w:divBdr>
        <w:top w:val="none" w:sz="0" w:space="0" w:color="auto"/>
        <w:left w:val="none" w:sz="0" w:space="0" w:color="auto"/>
        <w:bottom w:val="none" w:sz="0" w:space="0" w:color="auto"/>
        <w:right w:val="none" w:sz="0" w:space="0" w:color="auto"/>
      </w:divBdr>
    </w:div>
    <w:div w:id="337772831">
      <w:bodyDiv w:val="1"/>
      <w:marLeft w:val="0"/>
      <w:marRight w:val="0"/>
      <w:marTop w:val="0"/>
      <w:marBottom w:val="0"/>
      <w:divBdr>
        <w:top w:val="none" w:sz="0" w:space="0" w:color="auto"/>
        <w:left w:val="none" w:sz="0" w:space="0" w:color="auto"/>
        <w:bottom w:val="none" w:sz="0" w:space="0" w:color="auto"/>
        <w:right w:val="none" w:sz="0" w:space="0" w:color="auto"/>
      </w:divBdr>
    </w:div>
    <w:div w:id="411583547">
      <w:bodyDiv w:val="1"/>
      <w:marLeft w:val="0"/>
      <w:marRight w:val="0"/>
      <w:marTop w:val="0"/>
      <w:marBottom w:val="0"/>
      <w:divBdr>
        <w:top w:val="none" w:sz="0" w:space="0" w:color="auto"/>
        <w:left w:val="none" w:sz="0" w:space="0" w:color="auto"/>
        <w:bottom w:val="none" w:sz="0" w:space="0" w:color="auto"/>
        <w:right w:val="none" w:sz="0" w:space="0" w:color="auto"/>
      </w:divBdr>
    </w:div>
    <w:div w:id="569341588">
      <w:bodyDiv w:val="1"/>
      <w:marLeft w:val="0"/>
      <w:marRight w:val="0"/>
      <w:marTop w:val="0"/>
      <w:marBottom w:val="0"/>
      <w:divBdr>
        <w:top w:val="none" w:sz="0" w:space="0" w:color="auto"/>
        <w:left w:val="none" w:sz="0" w:space="0" w:color="auto"/>
        <w:bottom w:val="none" w:sz="0" w:space="0" w:color="auto"/>
        <w:right w:val="none" w:sz="0" w:space="0" w:color="auto"/>
      </w:divBdr>
    </w:div>
    <w:div w:id="587889406">
      <w:bodyDiv w:val="1"/>
      <w:marLeft w:val="0"/>
      <w:marRight w:val="0"/>
      <w:marTop w:val="0"/>
      <w:marBottom w:val="0"/>
      <w:divBdr>
        <w:top w:val="none" w:sz="0" w:space="0" w:color="auto"/>
        <w:left w:val="none" w:sz="0" w:space="0" w:color="auto"/>
        <w:bottom w:val="none" w:sz="0" w:space="0" w:color="auto"/>
        <w:right w:val="none" w:sz="0" w:space="0" w:color="auto"/>
      </w:divBdr>
    </w:div>
    <w:div w:id="889922882">
      <w:bodyDiv w:val="1"/>
      <w:marLeft w:val="0"/>
      <w:marRight w:val="0"/>
      <w:marTop w:val="0"/>
      <w:marBottom w:val="0"/>
      <w:divBdr>
        <w:top w:val="none" w:sz="0" w:space="0" w:color="auto"/>
        <w:left w:val="none" w:sz="0" w:space="0" w:color="auto"/>
        <w:bottom w:val="none" w:sz="0" w:space="0" w:color="auto"/>
        <w:right w:val="none" w:sz="0" w:space="0" w:color="auto"/>
      </w:divBdr>
    </w:div>
    <w:div w:id="1140802262">
      <w:bodyDiv w:val="1"/>
      <w:marLeft w:val="0"/>
      <w:marRight w:val="0"/>
      <w:marTop w:val="0"/>
      <w:marBottom w:val="0"/>
      <w:divBdr>
        <w:top w:val="none" w:sz="0" w:space="0" w:color="auto"/>
        <w:left w:val="none" w:sz="0" w:space="0" w:color="auto"/>
        <w:bottom w:val="none" w:sz="0" w:space="0" w:color="auto"/>
        <w:right w:val="none" w:sz="0" w:space="0" w:color="auto"/>
      </w:divBdr>
      <w:divsChild>
        <w:div w:id="1355040184">
          <w:marLeft w:val="547"/>
          <w:marRight w:val="0"/>
          <w:marTop w:val="115"/>
          <w:marBottom w:val="0"/>
          <w:divBdr>
            <w:top w:val="none" w:sz="0" w:space="0" w:color="auto"/>
            <w:left w:val="none" w:sz="0" w:space="0" w:color="auto"/>
            <w:bottom w:val="none" w:sz="0" w:space="0" w:color="auto"/>
            <w:right w:val="none" w:sz="0" w:space="0" w:color="auto"/>
          </w:divBdr>
        </w:div>
      </w:divsChild>
    </w:div>
    <w:div w:id="1187452057">
      <w:bodyDiv w:val="1"/>
      <w:marLeft w:val="0"/>
      <w:marRight w:val="0"/>
      <w:marTop w:val="0"/>
      <w:marBottom w:val="0"/>
      <w:divBdr>
        <w:top w:val="none" w:sz="0" w:space="0" w:color="auto"/>
        <w:left w:val="none" w:sz="0" w:space="0" w:color="auto"/>
        <w:bottom w:val="none" w:sz="0" w:space="0" w:color="auto"/>
        <w:right w:val="none" w:sz="0" w:space="0" w:color="auto"/>
      </w:divBdr>
    </w:div>
    <w:div w:id="1202061873">
      <w:bodyDiv w:val="1"/>
      <w:marLeft w:val="0"/>
      <w:marRight w:val="0"/>
      <w:marTop w:val="0"/>
      <w:marBottom w:val="0"/>
      <w:divBdr>
        <w:top w:val="none" w:sz="0" w:space="0" w:color="auto"/>
        <w:left w:val="none" w:sz="0" w:space="0" w:color="auto"/>
        <w:bottom w:val="none" w:sz="0" w:space="0" w:color="auto"/>
        <w:right w:val="none" w:sz="0" w:space="0" w:color="auto"/>
      </w:divBdr>
    </w:div>
    <w:div w:id="1243418813">
      <w:bodyDiv w:val="1"/>
      <w:marLeft w:val="0"/>
      <w:marRight w:val="0"/>
      <w:marTop w:val="0"/>
      <w:marBottom w:val="0"/>
      <w:divBdr>
        <w:top w:val="none" w:sz="0" w:space="0" w:color="auto"/>
        <w:left w:val="none" w:sz="0" w:space="0" w:color="auto"/>
        <w:bottom w:val="none" w:sz="0" w:space="0" w:color="auto"/>
        <w:right w:val="none" w:sz="0" w:space="0" w:color="auto"/>
      </w:divBdr>
    </w:div>
    <w:div w:id="1286230386">
      <w:bodyDiv w:val="1"/>
      <w:marLeft w:val="0"/>
      <w:marRight w:val="0"/>
      <w:marTop w:val="0"/>
      <w:marBottom w:val="0"/>
      <w:divBdr>
        <w:top w:val="none" w:sz="0" w:space="0" w:color="auto"/>
        <w:left w:val="none" w:sz="0" w:space="0" w:color="auto"/>
        <w:bottom w:val="none" w:sz="0" w:space="0" w:color="auto"/>
        <w:right w:val="none" w:sz="0" w:space="0" w:color="auto"/>
      </w:divBdr>
    </w:div>
    <w:div w:id="1357846789">
      <w:bodyDiv w:val="1"/>
      <w:marLeft w:val="0"/>
      <w:marRight w:val="0"/>
      <w:marTop w:val="0"/>
      <w:marBottom w:val="0"/>
      <w:divBdr>
        <w:top w:val="none" w:sz="0" w:space="0" w:color="auto"/>
        <w:left w:val="none" w:sz="0" w:space="0" w:color="auto"/>
        <w:bottom w:val="none" w:sz="0" w:space="0" w:color="auto"/>
        <w:right w:val="none" w:sz="0" w:space="0" w:color="auto"/>
      </w:divBdr>
    </w:div>
    <w:div w:id="1959338127">
      <w:bodyDiv w:val="1"/>
      <w:marLeft w:val="0"/>
      <w:marRight w:val="0"/>
      <w:marTop w:val="0"/>
      <w:marBottom w:val="0"/>
      <w:divBdr>
        <w:top w:val="none" w:sz="0" w:space="0" w:color="auto"/>
        <w:left w:val="none" w:sz="0" w:space="0" w:color="auto"/>
        <w:bottom w:val="none" w:sz="0" w:space="0" w:color="auto"/>
        <w:right w:val="none" w:sz="0" w:space="0" w:color="auto"/>
      </w:divBdr>
    </w:div>
    <w:div w:id="200516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Wor15</b:Tag>
    <b:SourceType>Report</b:SourceType>
    <b:Guid>{B369A0A8-6C30-44EB-8F23-165E1DAA9762}</b:Guid>
    <b:Author>
      <b:Author>
        <b:Corporate>World Bank</b:Corporate>
      </b:Author>
    </b:Author>
    <b:Title>Georga Urban Strategy. Priority Area IV: Housing</b:Title>
    <b:Year>2015</b:Year>
    <b:City>Tbilisi</b:City>
    <b:Publisher>World Bank Group</b:Publisher>
    <b:RefOrder>7</b:RefOrder>
  </b:Source>
  <b:Source>
    <b:Tag>Swi15</b:Tag>
    <b:SourceType>Report</b:SourceType>
    <b:Guid>{C4ADD6B6-98D5-4FFD-9FA8-5600ADF7A6D0}</b:Guid>
    <b:Author>
      <b:Author>
        <b:Corporate>Swiss Agency for Developmen Cooperation (SDC)</b:Corporate>
      </b:Author>
    </b:Author>
    <b:Title>Social Housing -– Georgian Reality in International Context</b:Title>
    <b:Year>2015</b:Year>
    <b:Publisher>SDC</b:Publisher>
    <b:City>Tbilisi</b:City>
    <b:RefOrder>2</b:RefOrder>
  </b:Source>
  <b:Source>
    <b:Tag>Geo14</b:Tag>
    <b:SourceType>Report</b:SourceType>
    <b:Guid>{4D062BBC-D347-4C9C-A365-F0BB8F1C0284}</b:Guid>
    <b:Title>State Policy in Providing Housing for IDPs</b:Title>
    <b:Year>2014</b:Year>
    <b:Author>
      <b:Author>
        <b:Corporate>Georgian Young Lawyers Association</b:Corporate>
      </b:Author>
    </b:Author>
    <b:Publisher>Georgian Young Lawyers Association</b:Publisher>
    <b:City>Tbilisi</b:City>
    <b:RefOrder>12</b:RefOrder>
  </b:Source>
  <b:Source>
    <b:Tag>Hum16</b:Tag>
    <b:SourceType>Report</b:SourceType>
    <b:Guid>{3F38897A-4533-4285-8D60-B42FF5417D4A}</b:Guid>
    <b:Author>
      <b:Author>
        <b:Corporate>Human Rights Education and Monitoring Center</b:Corporate>
      </b:Author>
    </b:Author>
    <b:Title>Homelessness. Analyses of State Policies</b:Title>
    <b:Year>2016</b:Year>
    <b:Publisher>Open Society Georgia Foundation</b:Publisher>
    <b:City>Tbilisi</b:City>
    <b:RefOrder>1</b:RefOrder>
  </b:Source>
</b:Sources>
</file>

<file path=customXml/itemProps1.xml><?xml version="1.0" encoding="utf-8"?>
<ds:datastoreItem xmlns:ds="http://schemas.openxmlformats.org/officeDocument/2006/customXml" ds:itemID="{9538D692-2822-4159-8D77-81019EBD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2958</Words>
  <Characters>16862</Characters>
  <Application>Microsoft Office Word</Application>
  <DocSecurity>0</DocSecurity>
  <Lines>140</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Chachava</dc:creator>
  <cp:keywords/>
  <dc:description/>
  <cp:lastModifiedBy>Norberto Pignatti</cp:lastModifiedBy>
  <cp:revision>7</cp:revision>
  <dcterms:created xsi:type="dcterms:W3CDTF">2020-09-16T13:57:00Z</dcterms:created>
  <dcterms:modified xsi:type="dcterms:W3CDTF">2020-09-16T14:04:00Z</dcterms:modified>
</cp:coreProperties>
</file>