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DC878" w14:textId="3D10EA84" w:rsidR="00582F4F" w:rsidRPr="004A0FAE" w:rsidRDefault="002E42A5" w:rsidP="00F7052B">
      <w:pPr>
        <w:jc w:val="both"/>
        <w:rPr>
          <w:b/>
          <w:sz w:val="20"/>
          <w:lang w:val="ka-GE"/>
        </w:rPr>
      </w:pPr>
      <w:r w:rsidRPr="004A0FAE">
        <w:rPr>
          <w:b/>
          <w:sz w:val="20"/>
          <w:lang w:val="en-GB"/>
        </w:rPr>
        <w:t>COVID-19</w:t>
      </w:r>
      <w:r w:rsidRPr="004A0FAE">
        <w:rPr>
          <w:b/>
          <w:sz w:val="20"/>
          <w:lang w:val="ka-GE"/>
        </w:rPr>
        <w:t xml:space="preserve"> _ </w:t>
      </w:r>
      <w:r w:rsidR="00752F11" w:rsidRPr="004A0FAE">
        <w:rPr>
          <w:b/>
          <w:sz w:val="20"/>
          <w:lang w:val="ka-GE"/>
        </w:rPr>
        <w:t xml:space="preserve">ჯანმოს ევროპის რეგიონი _ </w:t>
      </w:r>
      <w:r w:rsidR="00CA1996">
        <w:rPr>
          <w:b/>
          <w:sz w:val="20"/>
          <w:lang w:val="en-GB"/>
        </w:rPr>
        <w:t>21</w:t>
      </w:r>
      <w:r w:rsidR="00CF62BC">
        <w:rPr>
          <w:b/>
          <w:sz w:val="20"/>
          <w:lang w:val="ka-GE"/>
        </w:rPr>
        <w:t>.03</w:t>
      </w:r>
      <w:r w:rsidR="00104344" w:rsidRPr="004A0FAE">
        <w:rPr>
          <w:b/>
          <w:sz w:val="20"/>
          <w:lang w:val="en-GB"/>
        </w:rPr>
        <w:t>.2021</w:t>
      </w:r>
    </w:p>
    <w:p w14:paraId="686907D8" w14:textId="7C30D969" w:rsidR="00A144D7" w:rsidRDefault="0098442E" w:rsidP="002942F9">
      <w:pPr>
        <w:rPr>
          <w:sz w:val="18"/>
          <w:lang w:val="ka-GE"/>
        </w:rPr>
      </w:pPr>
      <w:r w:rsidRPr="004A0FAE">
        <w:rPr>
          <w:b/>
          <w:i/>
          <w:sz w:val="18"/>
          <w:lang w:val="ka-GE"/>
        </w:rPr>
        <w:t>ჯანდაცვის მსოფლიო ორგანიზაციის</w:t>
      </w:r>
      <w:r w:rsidRPr="004A0FAE">
        <w:rPr>
          <w:sz w:val="18"/>
          <w:lang w:val="ka-GE"/>
        </w:rPr>
        <w:t xml:space="preserve"> ბოლო ხელმისაწვდომი მონაცემებით (</w:t>
      </w:r>
      <w:r w:rsidR="00CA1996">
        <w:rPr>
          <w:sz w:val="18"/>
          <w:lang w:val="en-GB"/>
        </w:rPr>
        <w:t>16</w:t>
      </w:r>
      <w:r w:rsidR="00621D20">
        <w:rPr>
          <w:sz w:val="18"/>
          <w:lang w:val="en-GB"/>
        </w:rPr>
        <w:t xml:space="preserve"> </w:t>
      </w:r>
      <w:r w:rsidR="00621D20">
        <w:rPr>
          <w:sz w:val="18"/>
          <w:lang w:val="ka-GE"/>
        </w:rPr>
        <w:t>მარტი)</w:t>
      </w:r>
      <w:r w:rsidR="0073209B">
        <w:rPr>
          <w:sz w:val="18"/>
          <w:lang w:val="ka-GE"/>
        </w:rPr>
        <w:t xml:space="preserve"> </w:t>
      </w:r>
      <w:r w:rsidRPr="004A0FAE">
        <w:rPr>
          <w:sz w:val="18"/>
          <w:lang w:val="ka-GE"/>
        </w:rPr>
        <w:t xml:space="preserve">ბოლო 1 კვირაში მსოფლიოში დადასტურებული შემთხვევების ყველაზე დიდი წილი </w:t>
      </w:r>
      <w:r w:rsidR="00DE3D36" w:rsidRPr="004A0FAE">
        <w:rPr>
          <w:sz w:val="18"/>
          <w:lang w:val="ka-GE"/>
        </w:rPr>
        <w:t xml:space="preserve">ჯანმოს </w:t>
      </w:r>
      <w:r w:rsidR="00CA1996">
        <w:rPr>
          <w:sz w:val="18"/>
          <w:lang w:val="ka-GE"/>
        </w:rPr>
        <w:t>ამერიკის</w:t>
      </w:r>
      <w:r w:rsidR="00DE3D36" w:rsidRPr="004A0FAE">
        <w:rPr>
          <w:sz w:val="18"/>
          <w:lang w:val="ka-GE"/>
        </w:rPr>
        <w:t xml:space="preserve"> რეგიონზე </w:t>
      </w:r>
      <w:r w:rsidRPr="004A0FAE">
        <w:rPr>
          <w:sz w:val="18"/>
          <w:lang w:val="ka-GE"/>
        </w:rPr>
        <w:t>მოდის (</w:t>
      </w:r>
      <w:r w:rsidR="00621D20">
        <w:rPr>
          <w:sz w:val="18"/>
          <w:lang w:val="ka-GE"/>
        </w:rPr>
        <w:t>4</w:t>
      </w:r>
      <w:r w:rsidR="00CA1996">
        <w:rPr>
          <w:sz w:val="18"/>
          <w:lang w:val="ka-GE"/>
        </w:rPr>
        <w:t>0</w:t>
      </w:r>
      <w:r w:rsidRPr="004A0FAE">
        <w:rPr>
          <w:sz w:val="18"/>
          <w:lang w:val="ka-GE"/>
        </w:rPr>
        <w:t>%)</w:t>
      </w:r>
      <w:r w:rsidR="00DE3D36" w:rsidRPr="004A0FAE">
        <w:rPr>
          <w:sz w:val="18"/>
          <w:lang w:val="ka-GE"/>
        </w:rPr>
        <w:t xml:space="preserve">, </w:t>
      </w:r>
      <w:r w:rsidR="00CF62BC">
        <w:rPr>
          <w:sz w:val="18"/>
          <w:lang w:val="ka-GE"/>
        </w:rPr>
        <w:t xml:space="preserve">ხოლო </w:t>
      </w:r>
      <w:r w:rsidR="00CA1996">
        <w:rPr>
          <w:sz w:val="18"/>
          <w:lang w:val="ka-GE"/>
        </w:rPr>
        <w:t>ევროპის</w:t>
      </w:r>
      <w:r w:rsidR="00CF62BC">
        <w:rPr>
          <w:sz w:val="18"/>
          <w:lang w:val="ka-GE"/>
        </w:rPr>
        <w:t xml:space="preserve"> </w:t>
      </w:r>
      <w:r w:rsidR="00CA1996">
        <w:rPr>
          <w:sz w:val="18"/>
          <w:lang w:val="ka-GE"/>
        </w:rPr>
        <w:t xml:space="preserve">რეგიონზე </w:t>
      </w:r>
      <w:r w:rsidR="00CF62BC">
        <w:rPr>
          <w:sz w:val="18"/>
          <w:lang w:val="ka-GE"/>
        </w:rPr>
        <w:t>-</w:t>
      </w:r>
      <w:r w:rsidR="00DE3D36" w:rsidRPr="004A0FAE">
        <w:rPr>
          <w:sz w:val="18"/>
          <w:lang w:val="ka-GE"/>
        </w:rPr>
        <w:t xml:space="preserve"> </w:t>
      </w:r>
      <w:r w:rsidR="00CA1996">
        <w:rPr>
          <w:sz w:val="18"/>
          <w:lang w:val="ka-GE"/>
        </w:rPr>
        <w:t>41</w:t>
      </w:r>
      <w:r w:rsidR="00DE3D36" w:rsidRPr="004A0FAE">
        <w:rPr>
          <w:sz w:val="18"/>
          <w:lang w:val="ka-GE"/>
        </w:rPr>
        <w:t>%</w:t>
      </w:r>
      <w:r w:rsidRPr="004A0FAE">
        <w:rPr>
          <w:sz w:val="18"/>
          <w:lang w:val="ka-GE"/>
        </w:rPr>
        <w:t xml:space="preserve">. </w:t>
      </w:r>
    </w:p>
    <w:p w14:paraId="221F2B08" w14:textId="75E5D81F" w:rsidR="002338A9" w:rsidRDefault="00783B18" w:rsidP="002942F9">
      <w:pPr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0DA1086A" wp14:editId="06E22594">
            <wp:extent cx="6048375" cy="7972425"/>
            <wp:effectExtent l="0" t="0" r="95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C63FC22" w14:textId="77777777" w:rsidR="00A30836" w:rsidRDefault="00AA56AC">
      <w:pPr>
        <w:rPr>
          <w:b/>
          <w:sz w:val="20"/>
          <w:lang w:val="ka-GE"/>
        </w:rPr>
      </w:pPr>
      <w:r w:rsidRPr="006877A1">
        <w:rPr>
          <w:b/>
          <w:sz w:val="20"/>
          <w:lang w:val="ka-GE"/>
        </w:rPr>
        <w:lastRenderedPageBreak/>
        <w:t>ჯანმო -</w:t>
      </w:r>
      <w:r w:rsidR="00AE7221" w:rsidRPr="006877A1">
        <w:rPr>
          <w:b/>
          <w:sz w:val="20"/>
          <w:lang w:val="en-GB"/>
        </w:rPr>
        <w:t xml:space="preserve"> </w:t>
      </w:r>
      <w:r w:rsidR="00AE7221" w:rsidRPr="006877A1">
        <w:rPr>
          <w:b/>
          <w:sz w:val="20"/>
          <w:lang w:val="ka-GE"/>
        </w:rPr>
        <w:t>კუმულაციური</w:t>
      </w:r>
      <w:r w:rsidRPr="006877A1">
        <w:rPr>
          <w:b/>
          <w:sz w:val="20"/>
          <w:lang w:val="ka-GE"/>
        </w:rPr>
        <w:t xml:space="preserve"> სიკვდილიანობის მაჩენებელი </w:t>
      </w:r>
      <w:r w:rsidR="00DC2C7C">
        <w:rPr>
          <w:b/>
          <w:sz w:val="20"/>
          <w:lang w:val="ka-GE"/>
        </w:rPr>
        <w:t>100 000</w:t>
      </w:r>
      <w:r w:rsidRPr="006877A1">
        <w:rPr>
          <w:b/>
          <w:sz w:val="20"/>
          <w:lang w:val="ka-GE"/>
        </w:rPr>
        <w:t xml:space="preserve"> მოსახლეზე</w:t>
      </w:r>
    </w:p>
    <w:p w14:paraId="134B3168" w14:textId="170E1C5A" w:rsidR="00AA56AC" w:rsidRPr="00B636AF" w:rsidRDefault="00783B18">
      <w:pPr>
        <w:rPr>
          <w:b/>
          <w:sz w:val="20"/>
          <w:lang w:val="ka-GE"/>
        </w:rPr>
      </w:pPr>
      <w:r>
        <w:rPr>
          <w:noProof/>
          <w:lang w:eastAsia="nb-NO"/>
        </w:rPr>
        <w:drawing>
          <wp:inline distT="0" distB="0" distL="0" distR="0" wp14:anchorId="1362738D" wp14:editId="19A5248D">
            <wp:extent cx="4572000" cy="8174182"/>
            <wp:effectExtent l="0" t="0" r="0" b="1778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AA56AC">
        <w:rPr>
          <w:b/>
          <w:lang w:val="ka-GE"/>
        </w:rPr>
        <w:br w:type="page"/>
      </w:r>
    </w:p>
    <w:p w14:paraId="2DE9FCC3" w14:textId="3558DC9F" w:rsidR="00DF0B83" w:rsidRPr="0098442E" w:rsidRDefault="00DA656E" w:rsidP="0098442E">
      <w:pPr>
        <w:jc w:val="both"/>
        <w:rPr>
          <w:b/>
          <w:lang w:val="ka-GE"/>
        </w:rPr>
      </w:pPr>
      <w:r w:rsidRPr="0098442E">
        <w:rPr>
          <w:b/>
          <w:lang w:val="ka-GE"/>
        </w:rPr>
        <w:lastRenderedPageBreak/>
        <w:t>ევროპის დაავადებათა კონტროლის ცენტრი</w:t>
      </w:r>
      <w:r w:rsidR="0098442E" w:rsidRPr="0098442E">
        <w:rPr>
          <w:b/>
          <w:lang w:val="en-GB"/>
        </w:rPr>
        <w:t xml:space="preserve">  ECDC</w:t>
      </w:r>
      <w:r w:rsidR="004B45DC">
        <w:rPr>
          <w:b/>
          <w:lang w:val="en-GB"/>
        </w:rPr>
        <w:t xml:space="preserve">  </w:t>
      </w:r>
    </w:p>
    <w:p w14:paraId="3BF40975" w14:textId="688BA641" w:rsidR="00FB717E" w:rsidRDefault="0033756B" w:rsidP="007D6C57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მაჩვენებელი 100 000 მოსახლეზე,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B1DD614" w14:textId="755CC7B2" w:rsidR="00FB717E" w:rsidRDefault="00783B18" w:rsidP="007D6C57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0365E2BE" wp14:editId="6CA563BE">
            <wp:extent cx="5791200" cy="7546340"/>
            <wp:effectExtent l="0" t="0" r="0" b="1651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3FC6D9" w14:textId="4657B71D" w:rsidR="007D6C57" w:rsidRPr="007D6C57" w:rsidRDefault="007D6C57" w:rsidP="007D6C57">
      <w:pPr>
        <w:jc w:val="both"/>
        <w:rPr>
          <w:lang w:val="ka-GE"/>
        </w:rPr>
      </w:pPr>
      <w:r>
        <w:rPr>
          <w:b/>
          <w:i/>
          <w:lang w:val="ka-GE"/>
        </w:rPr>
        <w:br w:type="page"/>
      </w:r>
    </w:p>
    <w:p w14:paraId="3F62BB2B" w14:textId="00B33E2B" w:rsidR="007D6C57" w:rsidRDefault="007D6C57" w:rsidP="00E80B4C">
      <w:pPr>
        <w:jc w:val="both"/>
        <w:rPr>
          <w:b/>
          <w:i/>
          <w:lang w:val="ka-GE"/>
        </w:rPr>
      </w:pPr>
      <w:r w:rsidRPr="007D6C57">
        <w:rPr>
          <w:b/>
          <w:lang w:val="ka-GE"/>
        </w:rPr>
        <w:lastRenderedPageBreak/>
        <w:t xml:space="preserve">14 დღიანი კუმულაციური სიკვდილიანობის მაჩვენებელი </w:t>
      </w:r>
      <w:r w:rsidR="00DC2C7C">
        <w:rPr>
          <w:b/>
          <w:lang w:val="ka-GE"/>
        </w:rPr>
        <w:t>მილიონ</w:t>
      </w:r>
      <w:r w:rsidRPr="007D6C57">
        <w:rPr>
          <w:b/>
          <w:lang w:val="ka-GE"/>
        </w:rPr>
        <w:t xml:space="preserve"> მოსახლეზე</w:t>
      </w:r>
      <w:r>
        <w:rPr>
          <w:b/>
          <w:lang w:val="ka-GE"/>
        </w:rPr>
        <w:t xml:space="preserve">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D2A388A" w14:textId="199B69FB" w:rsidR="00FB717E" w:rsidRDefault="00783B18" w:rsidP="00E80B4C">
      <w:pPr>
        <w:jc w:val="both"/>
        <w:rPr>
          <w:b/>
          <w:i/>
          <w:lang w:val="ka-GE"/>
        </w:rPr>
      </w:pPr>
      <w:r>
        <w:rPr>
          <w:noProof/>
          <w:lang w:eastAsia="nb-NO"/>
        </w:rPr>
        <w:drawing>
          <wp:inline distT="0" distB="0" distL="0" distR="0" wp14:anchorId="7A3D7967" wp14:editId="30810FC9">
            <wp:extent cx="5334000" cy="84201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F9F6A61" w14:textId="5438F8E4" w:rsidR="00F7052B" w:rsidRDefault="00F7052B" w:rsidP="00F7052B">
      <w:pPr>
        <w:jc w:val="both"/>
        <w:rPr>
          <w:b/>
          <w:lang w:val="en-GB"/>
        </w:rPr>
      </w:pPr>
      <w:r w:rsidRPr="00F47B5F">
        <w:rPr>
          <w:b/>
          <w:lang w:val="ka-GE"/>
        </w:rPr>
        <w:lastRenderedPageBreak/>
        <w:t xml:space="preserve">ბოლო 2 კვირის განმავლობაში წინა 2 კვირასთან შედარებით ინციდენტობის </w:t>
      </w:r>
      <w:r w:rsidR="00F47B5F" w:rsidRPr="00F47B5F">
        <w:rPr>
          <w:b/>
          <w:lang w:val="ka-GE"/>
        </w:rPr>
        <w:t xml:space="preserve">ცვლილების პროცენტული </w:t>
      </w:r>
      <w:r w:rsidRPr="00F47B5F">
        <w:rPr>
          <w:b/>
          <w:lang w:val="ka-GE"/>
        </w:rPr>
        <w:t>მაჩვენებელი</w:t>
      </w:r>
      <w:r w:rsidR="005007A6">
        <w:rPr>
          <w:b/>
          <w:lang w:val="ka-GE"/>
        </w:rPr>
        <w:t>:</w:t>
      </w:r>
    </w:p>
    <w:p w14:paraId="03DF3E64" w14:textId="5F02CAB8" w:rsidR="00D209C7" w:rsidRPr="00A86ED5" w:rsidRDefault="00783B18" w:rsidP="00F7052B">
      <w:pPr>
        <w:jc w:val="both"/>
        <w:rPr>
          <w:lang w:val="en-GB"/>
        </w:rPr>
      </w:pPr>
      <w:r>
        <w:rPr>
          <w:noProof/>
          <w:lang w:eastAsia="nb-NO"/>
        </w:rPr>
        <w:drawing>
          <wp:inline distT="0" distB="0" distL="0" distR="0" wp14:anchorId="0927D189" wp14:editId="3DB839D1">
            <wp:extent cx="6191250" cy="813435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2D9D7A3" w14:textId="0C59668B" w:rsidR="00EE4F73" w:rsidRDefault="00E468F1" w:rsidP="00D6281A">
      <w:pPr>
        <w:jc w:val="both"/>
        <w:rPr>
          <w:b/>
          <w:sz w:val="20"/>
          <w:lang w:val="ka-GE"/>
        </w:rPr>
      </w:pPr>
      <w:r w:rsidRPr="00D6281A">
        <w:rPr>
          <w:i/>
          <w:sz w:val="18"/>
          <w:lang w:val="ka-GE"/>
        </w:rPr>
        <w:t>მონაცემები განახლებულია</w:t>
      </w:r>
      <w:r w:rsidR="00F2660F">
        <w:rPr>
          <w:i/>
          <w:sz w:val="18"/>
          <w:lang w:val="ka-GE"/>
        </w:rPr>
        <w:t xml:space="preserve"> </w:t>
      </w:r>
      <w:r w:rsidR="00783B18">
        <w:rPr>
          <w:i/>
          <w:sz w:val="18"/>
          <w:lang w:val="en-GB"/>
        </w:rPr>
        <w:t>21</w:t>
      </w:r>
      <w:r w:rsidR="00B636AF">
        <w:rPr>
          <w:i/>
          <w:sz w:val="18"/>
          <w:lang w:val="ka-GE"/>
        </w:rPr>
        <w:t xml:space="preserve"> მარტის</w:t>
      </w:r>
      <w:r w:rsidRPr="00D6281A">
        <w:rPr>
          <w:i/>
          <w:sz w:val="18"/>
          <w:lang w:val="ka-GE"/>
        </w:rPr>
        <w:t xml:space="preserve"> მდგომარეობით, წყარო: </w:t>
      </w:r>
      <w:r w:rsidRPr="00D6281A">
        <w:rPr>
          <w:i/>
          <w:sz w:val="18"/>
          <w:lang w:val="en-GB"/>
        </w:rPr>
        <w:t>ourworldindata.org.</w:t>
      </w:r>
      <w:r w:rsidR="00EE4F73">
        <w:rPr>
          <w:b/>
          <w:sz w:val="20"/>
          <w:lang w:val="ka-GE"/>
        </w:rPr>
        <w:br w:type="page"/>
      </w:r>
    </w:p>
    <w:p w14:paraId="5EEB98DB" w14:textId="1A415361" w:rsidR="00A64B95" w:rsidRPr="00A64B95" w:rsidRDefault="00A64B95" w:rsidP="004A0FAE">
      <w:pPr>
        <w:rPr>
          <w:rFonts w:ascii="Sylfaen" w:hAnsi="Sylfaen"/>
          <w:lang w:val="ka-GE"/>
        </w:rPr>
      </w:pPr>
      <w:r w:rsidRPr="00A64B95">
        <w:rPr>
          <w:sz w:val="18"/>
          <w:lang w:val="ka-GE"/>
        </w:rPr>
        <w:lastRenderedPageBreak/>
        <w:t xml:space="preserve">მონაცემები განახლებულია </w:t>
      </w:r>
      <w:r w:rsidR="00783B18">
        <w:rPr>
          <w:sz w:val="18"/>
          <w:lang w:val="en-GB"/>
        </w:rPr>
        <w:t>21</w:t>
      </w:r>
      <w:r w:rsidR="00D9751E">
        <w:rPr>
          <w:sz w:val="18"/>
          <w:lang w:val="ka-GE"/>
        </w:rPr>
        <w:t xml:space="preserve"> მარტის</w:t>
      </w:r>
      <w:r w:rsidRPr="00A64B95">
        <w:rPr>
          <w:sz w:val="18"/>
          <w:lang w:val="ka-GE"/>
        </w:rPr>
        <w:t xml:space="preserve"> მდგომარეობით</w:t>
      </w:r>
    </w:p>
    <w:p w14:paraId="6FFE39CF" w14:textId="0B3D60D3" w:rsidR="00710E75" w:rsidRDefault="004A0FAE">
      <w:pPr>
        <w:rPr>
          <w:rFonts w:ascii="Sylfaen" w:hAnsi="Sylfaen"/>
          <w:lang w:val="ka-GE"/>
        </w:rPr>
      </w:pPr>
      <w:r w:rsidRPr="00B636AF">
        <w:rPr>
          <w:rFonts w:ascii="Sylfaen" w:hAnsi="Sylfaen"/>
          <w:sz w:val="18"/>
          <w:lang w:val="ka-GE"/>
        </w:rPr>
        <w:t>New York Times - covid tracker - კუმულაციური შემთხვევების რაოდენობა 100 000 მოსახლეზე</w:t>
      </w:r>
      <w:r w:rsidR="006877A1" w:rsidRPr="00B636AF">
        <w:rPr>
          <w:rFonts w:ascii="Sylfaen" w:hAnsi="Sylfaen"/>
          <w:sz w:val="18"/>
          <w:lang w:val="ka-GE"/>
        </w:rPr>
        <w:t>: (</w:t>
      </w:r>
      <w:r w:rsidRPr="00B636AF">
        <w:rPr>
          <w:rFonts w:ascii="Sylfaen" w:hAnsi="Sylfaen"/>
          <w:sz w:val="18"/>
          <w:lang w:val="ka-GE"/>
        </w:rPr>
        <w:t>მსოფლიოს მასშტაბით, პირველი 50 ქვეყანა</w:t>
      </w:r>
      <w:r w:rsidR="006877A1" w:rsidRPr="00B636AF">
        <w:rPr>
          <w:rFonts w:ascii="Sylfaen" w:hAnsi="Sylfaen"/>
          <w:sz w:val="18"/>
          <w:lang w:val="ka-GE"/>
        </w:rPr>
        <w:t>)</w:t>
      </w:r>
      <w:r w:rsidR="00783B18">
        <w:rPr>
          <w:noProof/>
          <w:lang w:eastAsia="nb-NO"/>
        </w:rPr>
        <w:drawing>
          <wp:inline distT="0" distB="0" distL="0" distR="0" wp14:anchorId="28EA336C" wp14:editId="09A8E7B3">
            <wp:extent cx="6381750" cy="79724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5095B45" w14:textId="056AB4D7" w:rsidR="00710E75" w:rsidRDefault="00E12B55">
      <w:pPr>
        <w:rPr>
          <w:b/>
          <w:sz w:val="24"/>
          <w:lang w:val="ka-GE"/>
        </w:rPr>
      </w:pPr>
      <w:r w:rsidRPr="00B636AF">
        <w:rPr>
          <w:rFonts w:ascii="Sylfaen" w:hAnsi="Sylfaen"/>
          <w:sz w:val="18"/>
          <w:lang w:val="ka-GE"/>
        </w:rPr>
        <w:lastRenderedPageBreak/>
        <w:t xml:space="preserve">New York Times - covid tracker- </w:t>
      </w:r>
      <w:r w:rsidRPr="00B636AF">
        <w:rPr>
          <w:sz w:val="18"/>
          <w:lang w:val="ka-GE"/>
        </w:rPr>
        <w:t xml:space="preserve">7 დღიანი საშუალო 100 000 მოსახლეზე (მსოფლიოს მასშტაბით პირველი </w:t>
      </w:r>
      <w:r w:rsidR="006D618B" w:rsidRPr="006D618B">
        <w:rPr>
          <w:sz w:val="18"/>
          <w:lang w:val="ka-GE"/>
        </w:rPr>
        <w:t>68</w:t>
      </w:r>
      <w:r w:rsidRPr="00B636AF">
        <w:rPr>
          <w:sz w:val="18"/>
          <w:lang w:val="ka-GE"/>
        </w:rPr>
        <w:t xml:space="preserve">  ქვეყანა). </w:t>
      </w:r>
      <w:r w:rsidR="00C86E32" w:rsidRPr="00B636AF">
        <w:rPr>
          <w:b/>
          <w:sz w:val="18"/>
          <w:lang w:val="ka-GE"/>
        </w:rPr>
        <w:t>საქართველო</w:t>
      </w:r>
      <w:r w:rsidRPr="00B636AF">
        <w:rPr>
          <w:b/>
          <w:sz w:val="18"/>
          <w:lang w:val="ka-GE"/>
        </w:rPr>
        <w:t xml:space="preserve"> ამ მაჩვენებლით მსოფლიოში </w:t>
      </w:r>
      <w:r w:rsidR="006D618B" w:rsidRPr="006D618B">
        <w:rPr>
          <w:b/>
          <w:sz w:val="18"/>
          <w:lang w:val="ka-GE"/>
        </w:rPr>
        <w:t>68</w:t>
      </w:r>
      <w:r w:rsidR="002338A9" w:rsidRPr="00B636AF">
        <w:rPr>
          <w:b/>
          <w:sz w:val="18"/>
          <w:lang w:val="ka-GE"/>
        </w:rPr>
        <w:t xml:space="preserve">-ე </w:t>
      </w:r>
      <w:r w:rsidR="007B6D0F" w:rsidRPr="00B636AF">
        <w:rPr>
          <w:b/>
          <w:sz w:val="18"/>
          <w:lang w:val="ka-GE"/>
        </w:rPr>
        <w:t>ადგილასაა:</w:t>
      </w:r>
      <w:r w:rsidR="006D618B">
        <w:rPr>
          <w:noProof/>
          <w:lang w:eastAsia="nb-NO"/>
        </w:rPr>
        <w:drawing>
          <wp:inline distT="0" distB="0" distL="0" distR="0" wp14:anchorId="6CF2538F" wp14:editId="1C4C0F93">
            <wp:extent cx="6086475" cy="8429625"/>
            <wp:effectExtent l="0" t="0" r="9525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FD92633" w14:textId="3B1C2FB6" w:rsidR="0027476E" w:rsidRDefault="00912B9A" w:rsidP="00DC2C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New York Time</w:t>
      </w:r>
      <w:r w:rsidRPr="004A0FAE">
        <w:rPr>
          <w:rFonts w:ascii="Sylfaen" w:hAnsi="Sylfaen"/>
          <w:lang w:val="ka-GE"/>
        </w:rPr>
        <w:t xml:space="preserve">s - </w:t>
      </w:r>
      <w:r>
        <w:rPr>
          <w:rFonts w:ascii="Sylfaen" w:hAnsi="Sylfaen"/>
          <w:lang w:val="ka-GE"/>
        </w:rPr>
        <w:t>covid tracker - სიკვდილიანობა 100 000 მოსახლეზე: (მსოფლიოს მასშტაბით, პირველი 50 ქვეყანა)</w:t>
      </w:r>
    </w:p>
    <w:p w14:paraId="435F3EA5" w14:textId="49788488" w:rsidR="002338A9" w:rsidRPr="00E12B55" w:rsidRDefault="006D618B" w:rsidP="00DC2C7C">
      <w:pPr>
        <w:rPr>
          <w:b/>
          <w:sz w:val="24"/>
          <w:lang w:val="ka-GE"/>
        </w:rPr>
      </w:pPr>
      <w:r>
        <w:rPr>
          <w:noProof/>
          <w:lang w:eastAsia="nb-NO"/>
        </w:rPr>
        <w:drawing>
          <wp:inline distT="0" distB="0" distL="0" distR="0" wp14:anchorId="2F812222" wp14:editId="3E7F696F">
            <wp:extent cx="5048250" cy="8010525"/>
            <wp:effectExtent l="0" t="0" r="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C1B05E8" w14:textId="779DBCD5" w:rsidR="00912B9A" w:rsidRDefault="00912B9A" w:rsidP="00F7052B">
      <w:pPr>
        <w:jc w:val="both"/>
        <w:rPr>
          <w:lang w:val="ka-GE"/>
        </w:rPr>
      </w:pPr>
      <w:r w:rsidRPr="00912B9A">
        <w:rPr>
          <w:lang w:val="ka-GE"/>
        </w:rPr>
        <w:lastRenderedPageBreak/>
        <w:t xml:space="preserve">New York Times - covid tracker- სიკვდილიანობის </w:t>
      </w:r>
      <w:r w:rsidRPr="004A0FAE">
        <w:rPr>
          <w:lang w:val="ka-GE"/>
        </w:rPr>
        <w:t>7 დღიანი საშუალო</w:t>
      </w:r>
      <w:r w:rsidRPr="006877A1">
        <w:rPr>
          <w:lang w:val="ka-GE"/>
        </w:rPr>
        <w:t xml:space="preserve"> </w:t>
      </w:r>
      <w:r>
        <w:rPr>
          <w:lang w:val="ka-GE"/>
        </w:rPr>
        <w:t>(მსოფლიოს მასშტაბით პირველი</w:t>
      </w:r>
      <w:r w:rsidR="0027476E">
        <w:rPr>
          <w:lang w:val="ka-GE"/>
        </w:rPr>
        <w:t xml:space="preserve"> </w:t>
      </w:r>
      <w:r w:rsidR="006D618B" w:rsidRPr="006D618B">
        <w:rPr>
          <w:lang w:val="ka-GE"/>
        </w:rPr>
        <w:t>54</w:t>
      </w:r>
      <w:r>
        <w:rPr>
          <w:lang w:val="ka-GE"/>
        </w:rPr>
        <w:t xml:space="preserve"> ქვეყანა)</w:t>
      </w:r>
      <w:r w:rsidR="006D618B" w:rsidRPr="006D618B">
        <w:rPr>
          <w:lang w:val="ka-GE"/>
        </w:rPr>
        <w:t xml:space="preserve">, </w:t>
      </w:r>
      <w:r w:rsidR="006D618B">
        <w:rPr>
          <w:lang w:val="ka-GE"/>
        </w:rPr>
        <w:t>საქართველო 54-ე ადგილზეა:</w:t>
      </w:r>
    </w:p>
    <w:p w14:paraId="79623209" w14:textId="38BD44B4" w:rsidR="006D618B" w:rsidRDefault="006D618B" w:rsidP="00F7052B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50018030" wp14:editId="2CCD5E2F">
            <wp:extent cx="4572000" cy="8055429"/>
            <wp:effectExtent l="0" t="0" r="0" b="317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2B2BC14" w14:textId="7CDB0824" w:rsidR="002338A9" w:rsidRPr="00912B9A" w:rsidRDefault="002338A9" w:rsidP="00F7052B">
      <w:pPr>
        <w:jc w:val="both"/>
        <w:rPr>
          <w:lang w:val="ka-GE"/>
        </w:rPr>
      </w:pPr>
    </w:p>
    <w:p w14:paraId="7FAA4A86" w14:textId="77777777" w:rsidR="004B45DC" w:rsidRPr="004B45DC" w:rsidRDefault="004B45DC">
      <w:pPr>
        <w:rPr>
          <w:b/>
          <w:sz w:val="24"/>
          <w:lang w:val="ka-GE"/>
        </w:rPr>
      </w:pPr>
      <w:r w:rsidRPr="004B45DC">
        <w:rPr>
          <w:b/>
          <w:sz w:val="24"/>
          <w:lang w:val="ka-GE"/>
        </w:rPr>
        <w:lastRenderedPageBreak/>
        <w:t>ტესტირებულთა რაოდენობა 1000 მოსახლეზე</w:t>
      </w:r>
    </w:p>
    <w:p w14:paraId="5E709806" w14:textId="5B3C4FCB" w:rsidR="004B45DC" w:rsidRPr="00D9751E" w:rsidRDefault="004B45DC">
      <w:pPr>
        <w:rPr>
          <w:lang w:val="ka-GE"/>
        </w:rPr>
      </w:pPr>
      <w:r w:rsidRPr="009C2D9D">
        <w:rPr>
          <w:lang w:val="ka-GE"/>
        </w:rPr>
        <w:t>წყარო: ourworldindata.org, განახლებულია</w:t>
      </w:r>
      <w:r w:rsidR="00856B7D" w:rsidRPr="009C2D9D">
        <w:rPr>
          <w:lang w:val="ka-GE"/>
        </w:rPr>
        <w:t xml:space="preserve"> </w:t>
      </w:r>
      <w:r w:rsidR="006D618B">
        <w:rPr>
          <w:lang w:val="ka-GE"/>
        </w:rPr>
        <w:t>21</w:t>
      </w:r>
      <w:r w:rsidR="00710E75">
        <w:rPr>
          <w:lang w:val="ka-GE"/>
        </w:rPr>
        <w:t xml:space="preserve"> მა</w:t>
      </w:r>
      <w:r w:rsidR="00D9751E">
        <w:rPr>
          <w:lang w:val="ka-GE"/>
        </w:rPr>
        <w:t>რტს</w:t>
      </w:r>
    </w:p>
    <w:p w14:paraId="0D839B1E" w14:textId="7B998CFE" w:rsidR="002338A9" w:rsidRPr="009C2D9D" w:rsidRDefault="006D618B">
      <w:pPr>
        <w:rPr>
          <w:lang w:val="ka-GE"/>
        </w:rPr>
      </w:pPr>
      <w:r>
        <w:rPr>
          <w:noProof/>
          <w:lang w:eastAsia="nb-NO"/>
        </w:rPr>
        <w:drawing>
          <wp:inline distT="0" distB="0" distL="0" distR="0" wp14:anchorId="4CC2E7C1" wp14:editId="472854FE">
            <wp:extent cx="5372100" cy="815340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1D23C18" w14:textId="77777777" w:rsidR="004B45DC" w:rsidRPr="00A86ED5" w:rsidRDefault="004B45DC" w:rsidP="004B45DC">
      <w:pPr>
        <w:jc w:val="both"/>
        <w:rPr>
          <w:b/>
          <w:sz w:val="24"/>
          <w:lang w:val="ka-GE"/>
        </w:rPr>
      </w:pPr>
      <w:r w:rsidRPr="00A86ED5">
        <w:rPr>
          <w:b/>
          <w:sz w:val="24"/>
          <w:lang w:val="ka-GE"/>
        </w:rPr>
        <w:lastRenderedPageBreak/>
        <w:t>საქართველოში დადასტურებული შემთხვევების ტენდენცია</w:t>
      </w:r>
    </w:p>
    <w:p w14:paraId="39584E71" w14:textId="7215A545" w:rsidR="004B45DC" w:rsidRDefault="004B45DC" w:rsidP="004B45DC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საშუალოს </w:t>
      </w:r>
      <w:r>
        <w:rPr>
          <w:b/>
          <w:lang w:val="ka-GE"/>
        </w:rPr>
        <w:t>ბოლო 1 თვის ტენდენცია:</w:t>
      </w:r>
    </w:p>
    <w:p w14:paraId="437242A6" w14:textId="67530921" w:rsidR="004B45DC" w:rsidRPr="00A86ED5" w:rsidRDefault="006D618B" w:rsidP="004B45DC">
      <w:pPr>
        <w:jc w:val="both"/>
        <w:rPr>
          <w:b/>
          <w:lang w:val="ka-GE"/>
        </w:rPr>
      </w:pPr>
      <w:r w:rsidRPr="006D618B">
        <w:rPr>
          <w:noProof/>
          <w:sz w:val="20"/>
          <w:lang w:eastAsia="nb-NO"/>
        </w:rPr>
        <w:drawing>
          <wp:inline distT="0" distB="0" distL="0" distR="0" wp14:anchorId="77922415" wp14:editId="42B4453C">
            <wp:extent cx="6429375" cy="3829050"/>
            <wp:effectExtent l="0" t="0" r="9525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D0BDF61" w14:textId="77777777" w:rsidR="009C2D9D" w:rsidRDefault="004B45DC" w:rsidP="00963027">
      <w:pPr>
        <w:jc w:val="both"/>
        <w:rPr>
          <w:b/>
          <w:lang w:val="ka-GE"/>
        </w:rPr>
      </w:pPr>
      <w:r>
        <w:rPr>
          <w:b/>
          <w:lang w:val="ka-GE"/>
        </w:rPr>
        <w:t>1</w:t>
      </w:r>
      <w:r w:rsidRPr="00A86ED5">
        <w:rPr>
          <w:b/>
          <w:lang w:val="ka-GE"/>
        </w:rPr>
        <w:t xml:space="preserve">4 დღიანი კუმულაციური ინციდენტობის </w:t>
      </w:r>
      <w:r>
        <w:rPr>
          <w:b/>
          <w:lang w:val="ka-GE"/>
        </w:rPr>
        <w:t>ბოლო 1 თვის ტენდენცია:</w:t>
      </w:r>
    </w:p>
    <w:p w14:paraId="07D3A436" w14:textId="66750C19" w:rsidR="001F397B" w:rsidRDefault="006D618B" w:rsidP="00963027">
      <w:pPr>
        <w:jc w:val="both"/>
        <w:rPr>
          <w:b/>
          <w:lang w:val="en-GB"/>
        </w:rPr>
      </w:pPr>
      <w:r>
        <w:rPr>
          <w:noProof/>
          <w:lang w:eastAsia="nb-NO"/>
        </w:rPr>
        <w:drawing>
          <wp:inline distT="0" distB="0" distL="0" distR="0" wp14:anchorId="335E0149" wp14:editId="3C87D99E">
            <wp:extent cx="6496050" cy="3964940"/>
            <wp:effectExtent l="0" t="0" r="0" b="1651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bookmarkStart w:id="0" w:name="_GoBack"/>
      <w:bookmarkEnd w:id="0"/>
    </w:p>
    <w:sectPr w:rsidR="001F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E3DFD" w14:textId="77777777" w:rsidR="00081002" w:rsidRDefault="00081002" w:rsidP="00F7052B">
      <w:pPr>
        <w:spacing w:after="0" w:line="240" w:lineRule="auto"/>
      </w:pPr>
      <w:r>
        <w:separator/>
      </w:r>
    </w:p>
  </w:endnote>
  <w:endnote w:type="continuationSeparator" w:id="0">
    <w:p w14:paraId="0BE37EEF" w14:textId="77777777" w:rsidR="00081002" w:rsidRDefault="00081002" w:rsidP="00F7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BD663" w14:textId="77777777" w:rsidR="00081002" w:rsidRDefault="00081002" w:rsidP="00F7052B">
      <w:pPr>
        <w:spacing w:after="0" w:line="240" w:lineRule="auto"/>
      </w:pPr>
      <w:r>
        <w:separator/>
      </w:r>
    </w:p>
  </w:footnote>
  <w:footnote w:type="continuationSeparator" w:id="0">
    <w:p w14:paraId="3247EB31" w14:textId="77777777" w:rsidR="00081002" w:rsidRDefault="00081002" w:rsidP="00F70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51E"/>
    <w:multiLevelType w:val="multilevel"/>
    <w:tmpl w:val="B9BA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nb-NO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B5"/>
    <w:rsid w:val="00025BA9"/>
    <w:rsid w:val="00041E60"/>
    <w:rsid w:val="00075154"/>
    <w:rsid w:val="00081002"/>
    <w:rsid w:val="00104344"/>
    <w:rsid w:val="00113509"/>
    <w:rsid w:val="00113DE1"/>
    <w:rsid w:val="001146B7"/>
    <w:rsid w:val="001220E0"/>
    <w:rsid w:val="00171795"/>
    <w:rsid w:val="001852AD"/>
    <w:rsid w:val="00185600"/>
    <w:rsid w:val="001F397B"/>
    <w:rsid w:val="001F51AC"/>
    <w:rsid w:val="00206137"/>
    <w:rsid w:val="002338A9"/>
    <w:rsid w:val="00242D34"/>
    <w:rsid w:val="002430D7"/>
    <w:rsid w:val="0025546F"/>
    <w:rsid w:val="00264721"/>
    <w:rsid w:val="0027177F"/>
    <w:rsid w:val="0027476E"/>
    <w:rsid w:val="00284CFD"/>
    <w:rsid w:val="002942F9"/>
    <w:rsid w:val="002A2326"/>
    <w:rsid w:val="002B48A0"/>
    <w:rsid w:val="002C52F3"/>
    <w:rsid w:val="002D2E38"/>
    <w:rsid w:val="002E31D9"/>
    <w:rsid w:val="002E42A5"/>
    <w:rsid w:val="00303C5F"/>
    <w:rsid w:val="003171CD"/>
    <w:rsid w:val="00325476"/>
    <w:rsid w:val="0033756B"/>
    <w:rsid w:val="00352E8D"/>
    <w:rsid w:val="003743E6"/>
    <w:rsid w:val="0038134A"/>
    <w:rsid w:val="00395EBD"/>
    <w:rsid w:val="00440948"/>
    <w:rsid w:val="004726C4"/>
    <w:rsid w:val="00493A0C"/>
    <w:rsid w:val="00496258"/>
    <w:rsid w:val="004A0FAE"/>
    <w:rsid w:val="004B45DC"/>
    <w:rsid w:val="004E5B2F"/>
    <w:rsid w:val="004F2B76"/>
    <w:rsid w:val="004F4AC4"/>
    <w:rsid w:val="005007A6"/>
    <w:rsid w:val="00565CE6"/>
    <w:rsid w:val="00572E3E"/>
    <w:rsid w:val="00574EF4"/>
    <w:rsid w:val="00582F4F"/>
    <w:rsid w:val="00601D9F"/>
    <w:rsid w:val="00616DFD"/>
    <w:rsid w:val="00621D20"/>
    <w:rsid w:val="0063089B"/>
    <w:rsid w:val="00650EF4"/>
    <w:rsid w:val="006877A1"/>
    <w:rsid w:val="006A5762"/>
    <w:rsid w:val="006B550F"/>
    <w:rsid w:val="006D15FD"/>
    <w:rsid w:val="006D618B"/>
    <w:rsid w:val="006E367F"/>
    <w:rsid w:val="00710E75"/>
    <w:rsid w:val="0073209B"/>
    <w:rsid w:val="00752F11"/>
    <w:rsid w:val="007569C8"/>
    <w:rsid w:val="00760D22"/>
    <w:rsid w:val="0076561F"/>
    <w:rsid w:val="00783B18"/>
    <w:rsid w:val="00783E8F"/>
    <w:rsid w:val="007B6D0F"/>
    <w:rsid w:val="007D6C57"/>
    <w:rsid w:val="007F1D4D"/>
    <w:rsid w:val="00814999"/>
    <w:rsid w:val="00856B7D"/>
    <w:rsid w:val="008716EF"/>
    <w:rsid w:val="00875353"/>
    <w:rsid w:val="008942EB"/>
    <w:rsid w:val="00896DAA"/>
    <w:rsid w:val="00903E60"/>
    <w:rsid w:val="00912B9A"/>
    <w:rsid w:val="009169C1"/>
    <w:rsid w:val="009235F5"/>
    <w:rsid w:val="00937C3E"/>
    <w:rsid w:val="00940468"/>
    <w:rsid w:val="00955ECD"/>
    <w:rsid w:val="00963027"/>
    <w:rsid w:val="0098442E"/>
    <w:rsid w:val="009B1063"/>
    <w:rsid w:val="009C2D9D"/>
    <w:rsid w:val="009C72F0"/>
    <w:rsid w:val="00A01FA4"/>
    <w:rsid w:val="00A11346"/>
    <w:rsid w:val="00A144D7"/>
    <w:rsid w:val="00A30836"/>
    <w:rsid w:val="00A32E4D"/>
    <w:rsid w:val="00A64B95"/>
    <w:rsid w:val="00A67EC6"/>
    <w:rsid w:val="00A86ED5"/>
    <w:rsid w:val="00A97BB9"/>
    <w:rsid w:val="00AA56AC"/>
    <w:rsid w:val="00AC3403"/>
    <w:rsid w:val="00AD2A83"/>
    <w:rsid w:val="00AE7221"/>
    <w:rsid w:val="00AF47E0"/>
    <w:rsid w:val="00B61014"/>
    <w:rsid w:val="00B636AF"/>
    <w:rsid w:val="00B6479E"/>
    <w:rsid w:val="00B704D0"/>
    <w:rsid w:val="00B77AA2"/>
    <w:rsid w:val="00BD0FD6"/>
    <w:rsid w:val="00BE7C49"/>
    <w:rsid w:val="00BF2E6C"/>
    <w:rsid w:val="00BF657E"/>
    <w:rsid w:val="00C86E32"/>
    <w:rsid w:val="00CA1996"/>
    <w:rsid w:val="00CB43C9"/>
    <w:rsid w:val="00CE2CA7"/>
    <w:rsid w:val="00CE570E"/>
    <w:rsid w:val="00CF62BC"/>
    <w:rsid w:val="00D209C7"/>
    <w:rsid w:val="00D20A93"/>
    <w:rsid w:val="00D35051"/>
    <w:rsid w:val="00D50897"/>
    <w:rsid w:val="00D6281A"/>
    <w:rsid w:val="00D9751E"/>
    <w:rsid w:val="00DA45B5"/>
    <w:rsid w:val="00DA656E"/>
    <w:rsid w:val="00DC2C7C"/>
    <w:rsid w:val="00DE3D36"/>
    <w:rsid w:val="00DF0B83"/>
    <w:rsid w:val="00E12B55"/>
    <w:rsid w:val="00E13994"/>
    <w:rsid w:val="00E15460"/>
    <w:rsid w:val="00E468F1"/>
    <w:rsid w:val="00E54485"/>
    <w:rsid w:val="00E57CDC"/>
    <w:rsid w:val="00E80B4C"/>
    <w:rsid w:val="00E866D0"/>
    <w:rsid w:val="00E95E8D"/>
    <w:rsid w:val="00ED5652"/>
    <w:rsid w:val="00EE4F73"/>
    <w:rsid w:val="00EF10B3"/>
    <w:rsid w:val="00F12C3C"/>
    <w:rsid w:val="00F21FA6"/>
    <w:rsid w:val="00F2660F"/>
    <w:rsid w:val="00F36CC3"/>
    <w:rsid w:val="00F4040A"/>
    <w:rsid w:val="00F47B5F"/>
    <w:rsid w:val="00F57A3C"/>
    <w:rsid w:val="00F7052B"/>
    <w:rsid w:val="00F7072A"/>
    <w:rsid w:val="00F85259"/>
    <w:rsid w:val="00F913A7"/>
    <w:rsid w:val="00FB1285"/>
    <w:rsid w:val="00FB153A"/>
    <w:rsid w:val="00F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76F211A"/>
  <w15:chartTrackingRefBased/>
  <w15:docId w15:val="{EB5CB23D-E3DB-4D1D-9049-FBF02CD9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DA45B5"/>
    <w:rPr>
      <w:b/>
      <w:bCs/>
    </w:rPr>
  </w:style>
  <w:style w:type="paragraph" w:styleId="ListParagraph">
    <w:name w:val="List Paragraph"/>
    <w:basedOn w:val="Normal"/>
    <w:uiPriority w:val="34"/>
    <w:qFormat/>
    <w:rsid w:val="00DA4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52B"/>
  </w:style>
  <w:style w:type="paragraph" w:styleId="Footer">
    <w:name w:val="footer"/>
    <w:basedOn w:val="Normal"/>
    <w:link w:val="Foot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52B"/>
  </w:style>
  <w:style w:type="character" w:styleId="Hyperlink">
    <w:name w:val="Hyperlink"/>
    <w:basedOn w:val="DefaultParagraphFont"/>
    <w:uiPriority w:val="99"/>
    <w:unhideWhenUsed/>
    <w:rsid w:val="00ED56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customXml" Target="../customXml/item3.xml"/><Relationship Id="rId21" Type="http://schemas.openxmlformats.org/officeDocument/2006/relationships/chart" Target="charts/chart1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1.0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1.03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.&#4308;&#4318;&#4312;&#4307;&#4321;&#4312;&#4322;&#4323;&#4304;&#4330;&#4312;&#4304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.&#4308;&#4318;&#4312;&#4307;&#4321;&#4312;&#4322;&#4323;&#4304;&#4330;&#4312;&#4304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1.0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1.0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1.0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1.0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1.0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1.0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1.0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1.0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'WHO-total'!$B$1</c:f>
              <c:strCache>
                <c:ptCount val="1"/>
                <c:pt idx="0">
                  <c:v>დადასტურებული შემთხვევების რაოდენობა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3DD-4BD6-AD8D-2A1AA9CAF940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3DD-4BD6-AD8D-2A1AA9CAF940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3DD-4BD6-AD8D-2A1AA9CAF940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B3DD-4BD6-AD8D-2A1AA9CAF940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B3DD-4BD6-AD8D-2A1AA9CAF940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B3DD-4BD6-AD8D-2A1AA9CAF940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B3DD-4BD6-AD8D-2A1AA9CAF940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B3DD-4BD6-AD8D-2A1AA9CAF940}"/>
              </c:ext>
            </c:extLst>
          </c:dPt>
          <c:dPt>
            <c:idx val="4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B3DD-4BD6-AD8D-2A1AA9CAF940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B3DD-4BD6-AD8D-2A1AA9CAF940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B3DD-4BD6-AD8D-2A1AA9CAF940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B3DD-4BD6-AD8D-2A1AA9CAF940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B3DD-4BD6-AD8D-2A1AA9CAF940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B3DD-4BD6-AD8D-2A1AA9CAF94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'WHO-total'!$A$2:$A$54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ფინეთი</c:v>
                </c:pt>
                <c:pt idx="3">
                  <c:v>ყირგიზეთი</c:v>
                </c:pt>
                <c:pt idx="4">
                  <c:v>ნორვეგია</c:v>
                </c:pt>
                <c:pt idx="5">
                  <c:v>ყაზახეთი</c:v>
                </c:pt>
                <c:pt idx="6">
                  <c:v>ისლანდია</c:v>
                </c:pt>
                <c:pt idx="7">
                  <c:v>საბერძნეთი</c:v>
                </c:pt>
                <c:pt idx="8">
                  <c:v>აზერბაიჯანი</c:v>
                </c:pt>
                <c:pt idx="9">
                  <c:v>რუსეთი</c:v>
                </c:pt>
                <c:pt idx="10">
                  <c:v>გერმანია</c:v>
                </c:pt>
                <c:pt idx="11">
                  <c:v>ბელარუსი</c:v>
                </c:pt>
                <c:pt idx="12">
                  <c:v>კვიპროსი</c:v>
                </c:pt>
                <c:pt idx="13">
                  <c:v>უკრაინა</c:v>
                </c:pt>
                <c:pt idx="14">
                  <c:v>თურქეთი</c:v>
                </c:pt>
                <c:pt idx="15">
                  <c:v>დანია</c:v>
                </c:pt>
                <c:pt idx="16">
                  <c:v>ბულგარეთი</c:v>
                </c:pt>
                <c:pt idx="17">
                  <c:v>ალბანეთი</c:v>
                </c:pt>
                <c:pt idx="18">
                  <c:v>ბოსნია ჰერცოგოვინა</c:v>
                </c:pt>
                <c:pt idx="19">
                  <c:v>რუმინეთი</c:v>
                </c:pt>
                <c:pt idx="20">
                  <c:v>ირლანდია</c:v>
                </c:pt>
                <c:pt idx="21">
                  <c:v>ლატვია</c:v>
                </c:pt>
                <c:pt idx="22">
                  <c:v>პოლონეთი</c:v>
                </c:pt>
                <c:pt idx="23">
                  <c:v>მოლდოვა</c:v>
                </c:pt>
                <c:pt idx="24">
                  <c:v>იტალია</c:v>
                </c:pt>
                <c:pt idx="25">
                  <c:v>უნგრეთი</c:v>
                </c:pt>
                <c:pt idx="26">
                  <c:v>მონაკო</c:v>
                </c:pt>
                <c:pt idx="27">
                  <c:v>ჩრდ. მაკედონია</c:v>
                </c:pt>
                <c:pt idx="28">
                  <c:v>ავსტრია</c:v>
                </c:pt>
                <c:pt idx="29">
                  <c:v>მალტა</c:v>
                </c:pt>
                <c:pt idx="30">
                  <c:v>სომხეთი</c:v>
                </c:pt>
                <c:pt idx="31">
                  <c:v>საფრანგეთი</c:v>
                </c:pt>
                <c:pt idx="32">
                  <c:v>ხორვატია</c:v>
                </c:pt>
                <c:pt idx="33">
                  <c:v>სლოვაკეთი</c:v>
                </c:pt>
                <c:pt idx="34">
                  <c:v>ინგლისი</c:v>
                </c:pt>
                <c:pt idx="35">
                  <c:v>ესტონეთი</c:v>
                </c:pt>
                <c:pt idx="36">
                  <c:v>შვეიცარია</c:v>
                </c:pt>
                <c:pt idx="37">
                  <c:v>ნიდერლანდები</c:v>
                </c:pt>
                <c:pt idx="38">
                  <c:v>ესპანეთი</c:v>
                </c:pt>
                <c:pt idx="39">
                  <c:v>ბელგია</c:v>
                </c:pt>
                <c:pt idx="40">
                  <c:v>ლიხტენშტეინი</c:v>
                </c:pt>
                <c:pt idx="41">
                  <c:v>შვედეთი</c:v>
                </c:pt>
                <c:pt idx="42">
                  <c:v>სერბეთი</c:v>
                </c:pt>
                <c:pt idx="43">
                  <c:v>საქართველო</c:v>
                </c:pt>
                <c:pt idx="44">
                  <c:v>ლიეტუვა</c:v>
                </c:pt>
                <c:pt idx="45">
                  <c:v>პორტუგალია</c:v>
                </c:pt>
                <c:pt idx="46">
                  <c:v>ლუქსემბურგი</c:v>
                </c:pt>
                <c:pt idx="47">
                  <c:v>ისრაელი</c:v>
                </c:pt>
                <c:pt idx="48">
                  <c:v>სლოვენია</c:v>
                </c:pt>
                <c:pt idx="49">
                  <c:v>სან მარინო</c:v>
                </c:pt>
                <c:pt idx="50">
                  <c:v>ჩეხეთი</c:v>
                </c:pt>
                <c:pt idx="51">
                  <c:v>მონტენეგრო</c:v>
                </c:pt>
                <c:pt idx="52">
                  <c:v>ანდორა</c:v>
                </c:pt>
              </c:strCache>
            </c:strRef>
          </c:cat>
          <c:val>
            <c:numRef>
              <c:f>'WHO-total'!$B$2:$B$54</c:f>
              <c:numCache>
                <c:formatCode>General</c:formatCode>
                <c:ptCount val="53"/>
                <c:pt idx="0">
                  <c:v>144</c:v>
                </c:pt>
                <c:pt idx="1">
                  <c:v>241</c:v>
                </c:pt>
                <c:pt idx="2">
                  <c:v>1191</c:v>
                </c:pt>
                <c:pt idx="3">
                  <c:v>1331</c:v>
                </c:pt>
                <c:pt idx="4">
                  <c:v>1440</c:v>
                </c:pt>
                <c:pt idx="5">
                  <c:v>1457</c:v>
                </c:pt>
                <c:pt idx="6">
                  <c:v>1779</c:v>
                </c:pt>
                <c:pt idx="7">
                  <c:v>2106</c:v>
                </c:pt>
                <c:pt idx="8" formatCode="0">
                  <c:v>2364</c:v>
                </c:pt>
                <c:pt idx="9" formatCode="0">
                  <c:v>3009</c:v>
                </c:pt>
                <c:pt idx="10" formatCode="0">
                  <c:v>3066</c:v>
                </c:pt>
                <c:pt idx="11">
                  <c:v>3189</c:v>
                </c:pt>
                <c:pt idx="12">
                  <c:v>3253</c:v>
                </c:pt>
                <c:pt idx="13">
                  <c:v>3340</c:v>
                </c:pt>
                <c:pt idx="14">
                  <c:v>3398</c:v>
                </c:pt>
                <c:pt idx="15">
                  <c:v>3797</c:v>
                </c:pt>
                <c:pt idx="16">
                  <c:v>3999</c:v>
                </c:pt>
                <c:pt idx="17">
                  <c:v>4059</c:v>
                </c:pt>
                <c:pt idx="18">
                  <c:v>4365</c:v>
                </c:pt>
                <c:pt idx="19">
                  <c:v>4446</c:v>
                </c:pt>
                <c:pt idx="20">
                  <c:v>4584</c:v>
                </c:pt>
                <c:pt idx="21">
                  <c:v>4956</c:v>
                </c:pt>
                <c:pt idx="22">
                  <c:v>5038</c:v>
                </c:pt>
                <c:pt idx="23">
                  <c:v>5050</c:v>
                </c:pt>
                <c:pt idx="24">
                  <c:v>5296</c:v>
                </c:pt>
                <c:pt idx="25">
                  <c:v>5346</c:v>
                </c:pt>
                <c:pt idx="26">
                  <c:v>5366</c:v>
                </c:pt>
                <c:pt idx="27">
                  <c:v>5381</c:v>
                </c:pt>
                <c:pt idx="28">
                  <c:v>5418</c:v>
                </c:pt>
                <c:pt idx="29">
                  <c:v>5949</c:v>
                </c:pt>
                <c:pt idx="30">
                  <c:v>6020</c:v>
                </c:pt>
                <c:pt idx="31" formatCode="0">
                  <c:v>6075</c:v>
                </c:pt>
                <c:pt idx="32">
                  <c:v>6115</c:v>
                </c:pt>
                <c:pt idx="33">
                  <c:v>6182</c:v>
                </c:pt>
                <c:pt idx="34">
                  <c:v>6266</c:v>
                </c:pt>
                <c:pt idx="35" formatCode="0">
                  <c:v>6393</c:v>
                </c:pt>
                <c:pt idx="36">
                  <c:v>6563</c:v>
                </c:pt>
                <c:pt idx="37">
                  <c:v>6718</c:v>
                </c:pt>
                <c:pt idx="38">
                  <c:v>6809</c:v>
                </c:pt>
                <c:pt idx="39">
                  <c:v>6974</c:v>
                </c:pt>
                <c:pt idx="40">
                  <c:v>7022</c:v>
                </c:pt>
                <c:pt idx="41">
                  <c:v>7055</c:v>
                </c:pt>
                <c:pt idx="42">
                  <c:v>7353</c:v>
                </c:pt>
                <c:pt idx="43">
                  <c:v>7465</c:v>
                </c:pt>
                <c:pt idx="44">
                  <c:v>7545</c:v>
                </c:pt>
                <c:pt idx="45">
                  <c:v>7980</c:v>
                </c:pt>
                <c:pt idx="46">
                  <c:v>9218</c:v>
                </c:pt>
                <c:pt idx="47">
                  <c:v>9315</c:v>
                </c:pt>
                <c:pt idx="48">
                  <c:v>9613</c:v>
                </c:pt>
                <c:pt idx="49">
                  <c:v>12157</c:v>
                </c:pt>
                <c:pt idx="50">
                  <c:v>13064</c:v>
                </c:pt>
                <c:pt idx="51">
                  <c:v>13325</c:v>
                </c:pt>
                <c:pt idx="52">
                  <c:v>14532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B3DD-4BD6-AD8D-2A1AA9CAF94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80024384"/>
        <c:axId val="980014544"/>
      </c:barChart>
      <c:catAx>
        <c:axId val="980024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0014544"/>
        <c:crosses val="autoZero"/>
        <c:auto val="1"/>
        <c:lblAlgn val="ctr"/>
        <c:lblOffset val="100"/>
        <c:noMultiLvlLbl val="0"/>
      </c:catAx>
      <c:valAx>
        <c:axId val="9800145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8002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5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3D2-4253-A6B0-51EA35447DB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Tests_ourworld!$A$3:$A$54</c:f>
              <c:strCache>
                <c:ptCount val="52"/>
                <c:pt idx="0">
                  <c:v>Romania</c:v>
                </c:pt>
                <c:pt idx="1">
                  <c:v>Uruguay</c:v>
                </c:pt>
                <c:pt idx="2">
                  <c:v>Croatia</c:v>
                </c:pt>
                <c:pt idx="3">
                  <c:v>Italy, people tested</c:v>
                </c:pt>
                <c:pt idx="4">
                  <c:v>New Zealand</c:v>
                </c:pt>
                <c:pt idx="5">
                  <c:v>Hungary</c:v>
                </c:pt>
                <c:pt idx="6">
                  <c:v>Saudi Arabia</c:v>
                </c:pt>
                <c:pt idx="7">
                  <c:v>Netherlands</c:v>
                </c:pt>
                <c:pt idx="8">
                  <c:v>Turkey</c:v>
                </c:pt>
                <c:pt idx="9">
                  <c:v>Kazakhstan</c:v>
                </c:pt>
                <c:pt idx="10">
                  <c:v>Kuwait</c:v>
                </c:pt>
                <c:pt idx="11">
                  <c:v>Panama</c:v>
                </c:pt>
                <c:pt idx="12">
                  <c:v>Serbia</c:v>
                </c:pt>
                <c:pt idx="13">
                  <c:v>Jordan</c:v>
                </c:pt>
                <c:pt idx="14">
                  <c:v>Chile</c:v>
                </c:pt>
                <c:pt idx="15">
                  <c:v>Switzerland</c:v>
                </c:pt>
                <c:pt idx="16">
                  <c:v>Belarus</c:v>
                </c:pt>
                <c:pt idx="17">
                  <c:v>Germany</c:v>
                </c:pt>
                <c:pt idx="18">
                  <c:v>Greece</c:v>
                </c:pt>
                <c:pt idx="19">
                  <c:v>Qatar</c:v>
                </c:pt>
                <c:pt idx="20">
                  <c:v>Australia</c:v>
                </c:pt>
                <c:pt idx="21">
                  <c:v>Mongolia</c:v>
                </c:pt>
                <c:pt idx="22">
                  <c:v>Finland</c:v>
                </c:pt>
                <c:pt idx="23">
                  <c:v>Canada</c:v>
                </c:pt>
                <c:pt idx="24">
                  <c:v>Bhutan</c:v>
                </c:pt>
                <c:pt idx="25">
                  <c:v>Spain</c:v>
                </c:pt>
                <c:pt idx="26">
                  <c:v>Italy</c:v>
                </c:pt>
                <c:pt idx="27">
                  <c:v>Ireland</c:v>
                </c:pt>
                <c:pt idx="28">
                  <c:v>Norway</c:v>
                </c:pt>
                <c:pt idx="29">
                  <c:v>Russia</c:v>
                </c:pt>
                <c:pt idx="30">
                  <c:v>Estonia</c:v>
                </c:pt>
                <c:pt idx="31">
                  <c:v>Lithuania</c:v>
                </c:pt>
                <c:pt idx="32">
                  <c:v>Portugal</c:v>
                </c:pt>
                <c:pt idx="33">
                  <c:v>Iceland</c:v>
                </c:pt>
                <c:pt idx="34">
                  <c:v>Latvia</c:v>
                </c:pt>
                <c:pt idx="35">
                  <c:v>Georgia</c:v>
                </c:pt>
                <c:pt idx="36">
                  <c:v>Belgium</c:v>
                </c:pt>
                <c:pt idx="37">
                  <c:v>United States</c:v>
                </c:pt>
                <c:pt idx="38">
                  <c:v>Maldives</c:v>
                </c:pt>
                <c:pt idx="39">
                  <c:v>Slovenia</c:v>
                </c:pt>
                <c:pt idx="40">
                  <c:v>Singapore</c:v>
                </c:pt>
                <c:pt idx="41">
                  <c:v>United Kingdom</c:v>
                </c:pt>
                <c:pt idx="42">
                  <c:v>Israel</c:v>
                </c:pt>
                <c:pt idx="43">
                  <c:v>Malta</c:v>
                </c:pt>
                <c:pt idx="44">
                  <c:v>Bahrain</c:v>
                </c:pt>
                <c:pt idx="45">
                  <c:v>Andorra</c:v>
                </c:pt>
                <c:pt idx="46">
                  <c:v>Austria</c:v>
                </c:pt>
                <c:pt idx="47">
                  <c:v>Denmark</c:v>
                </c:pt>
                <c:pt idx="48">
                  <c:v>Cyprus</c:v>
                </c:pt>
                <c:pt idx="49">
                  <c:v>United Arab Emirates</c:v>
                </c:pt>
                <c:pt idx="50">
                  <c:v>Luxembourg</c:v>
                </c:pt>
                <c:pt idx="51">
                  <c:v>Slovakia</c:v>
                </c:pt>
              </c:strCache>
            </c:strRef>
          </c:cat>
          <c:val>
            <c:numRef>
              <c:f>Tests_ourworld!$B$3:$B$54</c:f>
              <c:numCache>
                <c:formatCode>#,##0</c:formatCode>
                <c:ptCount val="52"/>
                <c:pt idx="0">
                  <c:v>335.06</c:v>
                </c:pt>
                <c:pt idx="1">
                  <c:v>337.97</c:v>
                </c:pt>
                <c:pt idx="2">
                  <c:v>356.01</c:v>
                </c:pt>
                <c:pt idx="3">
                  <c:v>356.34</c:v>
                </c:pt>
                <c:pt idx="4">
                  <c:v>381.66</c:v>
                </c:pt>
                <c:pt idx="5">
                  <c:v>388.33</c:v>
                </c:pt>
                <c:pt idx="6">
                  <c:v>416.61</c:v>
                </c:pt>
                <c:pt idx="7">
                  <c:v>419.26</c:v>
                </c:pt>
                <c:pt idx="8">
                  <c:v>424.33</c:v>
                </c:pt>
                <c:pt idx="9">
                  <c:v>437.3</c:v>
                </c:pt>
                <c:pt idx="10">
                  <c:v>454.73</c:v>
                </c:pt>
                <c:pt idx="11">
                  <c:v>471.69</c:v>
                </c:pt>
                <c:pt idx="12">
                  <c:v>472.97</c:v>
                </c:pt>
                <c:pt idx="13">
                  <c:v>521.19000000000005</c:v>
                </c:pt>
                <c:pt idx="14">
                  <c:v>541.07000000000005</c:v>
                </c:pt>
                <c:pt idx="15">
                  <c:v>543.04</c:v>
                </c:pt>
                <c:pt idx="16">
                  <c:v>548.04999999999995</c:v>
                </c:pt>
                <c:pt idx="17">
                  <c:v>567.08000000000004</c:v>
                </c:pt>
                <c:pt idx="18">
                  <c:v>570.32000000000005</c:v>
                </c:pt>
                <c:pt idx="19">
                  <c:v>572.20000000000005</c:v>
                </c:pt>
                <c:pt idx="20">
                  <c:v>591.07000000000005</c:v>
                </c:pt>
                <c:pt idx="21">
                  <c:v>628.88</c:v>
                </c:pt>
                <c:pt idx="22">
                  <c:v>674</c:v>
                </c:pt>
                <c:pt idx="23">
                  <c:v>695.52</c:v>
                </c:pt>
                <c:pt idx="24">
                  <c:v>739.48</c:v>
                </c:pt>
                <c:pt idx="25">
                  <c:v>744</c:v>
                </c:pt>
                <c:pt idx="26">
                  <c:v>759.07</c:v>
                </c:pt>
                <c:pt idx="27">
                  <c:v>766.94</c:v>
                </c:pt>
                <c:pt idx="28">
                  <c:v>788.39</c:v>
                </c:pt>
                <c:pt idx="29">
                  <c:v>799.84</c:v>
                </c:pt>
                <c:pt idx="30">
                  <c:v>807.79</c:v>
                </c:pt>
                <c:pt idx="31">
                  <c:v>831.74</c:v>
                </c:pt>
                <c:pt idx="32">
                  <c:v>850.46</c:v>
                </c:pt>
                <c:pt idx="33">
                  <c:v>851.1</c:v>
                </c:pt>
                <c:pt idx="34">
                  <c:v>886.43</c:v>
                </c:pt>
                <c:pt idx="35">
                  <c:v>887</c:v>
                </c:pt>
                <c:pt idx="36">
                  <c:v>890.7</c:v>
                </c:pt>
                <c:pt idx="37">
                  <c:v>1072.67</c:v>
                </c:pt>
                <c:pt idx="38">
                  <c:v>1089</c:v>
                </c:pt>
                <c:pt idx="39">
                  <c:v>1112.74</c:v>
                </c:pt>
                <c:pt idx="40">
                  <c:v>1376.96</c:v>
                </c:pt>
                <c:pt idx="41">
                  <c:v>1584.79</c:v>
                </c:pt>
                <c:pt idx="42">
                  <c:v>1667.98</c:v>
                </c:pt>
                <c:pt idx="43">
                  <c:v>1748.9</c:v>
                </c:pt>
                <c:pt idx="44">
                  <c:v>1979.89</c:v>
                </c:pt>
                <c:pt idx="45">
                  <c:v>2097.6</c:v>
                </c:pt>
                <c:pt idx="46">
                  <c:v>2140.4299999999998</c:v>
                </c:pt>
                <c:pt idx="47">
                  <c:v>3350.79</c:v>
                </c:pt>
                <c:pt idx="48">
                  <c:v>3476.13</c:v>
                </c:pt>
                <c:pt idx="49">
                  <c:v>3530.06</c:v>
                </c:pt>
                <c:pt idx="50">
                  <c:v>3643.63</c:v>
                </c:pt>
                <c:pt idx="51">
                  <c:v>3857.66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D2-4253-A6B0-51EA35447DB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08542824"/>
        <c:axId val="808548728"/>
      </c:barChart>
      <c:catAx>
        <c:axId val="808542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08548728"/>
        <c:crosses val="autoZero"/>
        <c:auto val="1"/>
        <c:lblAlgn val="ctr"/>
        <c:lblOffset val="100"/>
        <c:noMultiLvlLbl val="0"/>
      </c:catAx>
      <c:valAx>
        <c:axId val="808548728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808542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ka-GE" b="0"/>
              <a:t>14-დღიანი ინციდენტობის საშუალო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NEW!$P$220</c:f>
              <c:strCache>
                <c:ptCount val="1"/>
                <c:pt idx="0">
                  <c:v>14-დღიანი ინციდენტობის საშუალო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2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nb-NO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58A1-40B3-B5BC-B0E19B044B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NEW!$O$221:$O$249</c:f>
              <c:numCache>
                <c:formatCode>General</c:formatCode>
                <c:ptCount val="29"/>
                <c:pt idx="0">
                  <c:v>20.02</c:v>
                </c:pt>
                <c:pt idx="1">
                  <c:v>21.02</c:v>
                </c:pt>
                <c:pt idx="2">
                  <c:v>22.02</c:v>
                </c:pt>
                <c:pt idx="3">
                  <c:v>23.02</c:v>
                </c:pt>
                <c:pt idx="4">
                  <c:v>24.02</c:v>
                </c:pt>
                <c:pt idx="5">
                  <c:v>25.02</c:v>
                </c:pt>
                <c:pt idx="6">
                  <c:v>26.02</c:v>
                </c:pt>
                <c:pt idx="7">
                  <c:v>27.02</c:v>
                </c:pt>
                <c:pt idx="8">
                  <c:v>28.02</c:v>
                </c:pt>
                <c:pt idx="9">
                  <c:v>1.03</c:v>
                </c:pt>
                <c:pt idx="10">
                  <c:v>2.0299999999999998</c:v>
                </c:pt>
                <c:pt idx="11">
                  <c:v>3.03</c:v>
                </c:pt>
                <c:pt idx="12">
                  <c:v>4.03</c:v>
                </c:pt>
                <c:pt idx="13">
                  <c:v>5.03</c:v>
                </c:pt>
                <c:pt idx="14">
                  <c:v>6.03</c:v>
                </c:pt>
                <c:pt idx="15">
                  <c:v>7.03</c:v>
                </c:pt>
                <c:pt idx="16">
                  <c:v>8.0299999999999994</c:v>
                </c:pt>
                <c:pt idx="17">
                  <c:v>9.0299999999999994</c:v>
                </c:pt>
                <c:pt idx="18">
                  <c:v>10.029999999999999</c:v>
                </c:pt>
                <c:pt idx="19">
                  <c:v>11.03</c:v>
                </c:pt>
                <c:pt idx="20">
                  <c:v>12.03</c:v>
                </c:pt>
                <c:pt idx="21">
                  <c:v>13.03</c:v>
                </c:pt>
                <c:pt idx="22">
                  <c:v>14.03</c:v>
                </c:pt>
                <c:pt idx="23">
                  <c:v>15.03</c:v>
                </c:pt>
                <c:pt idx="24">
                  <c:v>16.03</c:v>
                </c:pt>
                <c:pt idx="25">
                  <c:v>17.03</c:v>
                </c:pt>
                <c:pt idx="26">
                  <c:v>18.03</c:v>
                </c:pt>
                <c:pt idx="27">
                  <c:v>19.03</c:v>
                </c:pt>
                <c:pt idx="28">
                  <c:v>20.03</c:v>
                </c:pt>
              </c:numCache>
            </c:numRef>
          </c:cat>
          <c:val>
            <c:numRef>
              <c:f>NEW!$P$221:$P$249</c:f>
              <c:numCache>
                <c:formatCode>0.0</c:formatCode>
                <c:ptCount val="29"/>
                <c:pt idx="0">
                  <c:v>12.44700845174358</c:v>
                </c:pt>
                <c:pt idx="1">
                  <c:v>12.166436700322466</c:v>
                </c:pt>
                <c:pt idx="2">
                  <c:v>12.056898413808742</c:v>
                </c:pt>
                <c:pt idx="3">
                  <c:v>11.411199040675218</c:v>
                </c:pt>
                <c:pt idx="4">
                  <c:v>11.217104883870201</c:v>
                </c:pt>
                <c:pt idx="5">
                  <c:v>10.842368640533779</c:v>
                </c:pt>
                <c:pt idx="6">
                  <c:v>10.515675505317413</c:v>
                </c:pt>
                <c:pt idx="7">
                  <c:v>10.204356164699462</c:v>
                </c:pt>
                <c:pt idx="8">
                  <c:v>9.9948882132960257</c:v>
                </c:pt>
                <c:pt idx="9">
                  <c:v>9.9852795916720147</c:v>
                </c:pt>
                <c:pt idx="10">
                  <c:v>9.4491185050522137</c:v>
                </c:pt>
                <c:pt idx="11">
                  <c:v>9.2069812401271403</c:v>
                </c:pt>
                <c:pt idx="12">
                  <c:v>9.2550243482471952</c:v>
                </c:pt>
                <c:pt idx="13">
                  <c:v>9.1916074455287227</c:v>
                </c:pt>
                <c:pt idx="14">
                  <c:v>8.8802881049107736</c:v>
                </c:pt>
                <c:pt idx="15">
                  <c:v>8.6669767048577349</c:v>
                </c:pt>
                <c:pt idx="16">
                  <c:v>8.6516029102593173</c:v>
                </c:pt>
                <c:pt idx="17">
                  <c:v>8.6900373967553612</c:v>
                </c:pt>
                <c:pt idx="18">
                  <c:v>8.5977946291648575</c:v>
                </c:pt>
                <c:pt idx="19">
                  <c:v>8.5401428994207915</c:v>
                </c:pt>
                <c:pt idx="20">
                  <c:v>8.5535949696944069</c:v>
                </c:pt>
                <c:pt idx="21">
                  <c:v>8.3518139155901796</c:v>
                </c:pt>
                <c:pt idx="22">
                  <c:v>8.1807804506827875</c:v>
                </c:pt>
                <c:pt idx="23">
                  <c:v>8.9052705211332022</c:v>
                </c:pt>
                <c:pt idx="24">
                  <c:v>8.753454299473832</c:v>
                </c:pt>
                <c:pt idx="25">
                  <c:v>8.7707498183970518</c:v>
                </c:pt>
                <c:pt idx="26">
                  <c:v>8.7130980886529876</c:v>
                </c:pt>
                <c:pt idx="27">
                  <c:v>8.8418536184147314</c:v>
                </c:pt>
                <c:pt idx="28">
                  <c:v>8.8956618995091929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8A1-40B3-B5BC-B0E19B044BB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9887000"/>
        <c:axId val="559884376"/>
      </c:lineChart>
      <c:catAx>
        <c:axId val="559887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9884376"/>
        <c:crosses val="autoZero"/>
        <c:auto val="1"/>
        <c:lblAlgn val="ctr"/>
        <c:lblOffset val="100"/>
        <c:noMultiLvlLbl val="0"/>
      </c:catAx>
      <c:valAx>
        <c:axId val="559884376"/>
        <c:scaling>
          <c:orientation val="minMax"/>
          <c:max val="13"/>
          <c:min val="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9887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ka-GE" b="0"/>
              <a:t>14 დღიანი კუმულაციური ინციდენტობა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NEW!$AB$218</c:f>
              <c:strCache>
                <c:ptCount val="1"/>
                <c:pt idx="0">
                  <c:v>14 დღიანი კუმულაციური ინციდენტობა - 18.11-17.12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28"/>
              <c:layout>
                <c:manualLayout>
                  <c:x val="-7.7317754635510706E-3"/>
                  <c:y val="-7.64975005926949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nb-NO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E56-4C32-ACD5-149CDECEC0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NEW!$AA$219:$AA$247</c:f>
              <c:numCache>
                <c:formatCode>General</c:formatCode>
                <c:ptCount val="29"/>
                <c:pt idx="0">
                  <c:v>20.02</c:v>
                </c:pt>
                <c:pt idx="1">
                  <c:v>21.02</c:v>
                </c:pt>
                <c:pt idx="2">
                  <c:v>22.02</c:v>
                </c:pt>
                <c:pt idx="3">
                  <c:v>23.02</c:v>
                </c:pt>
                <c:pt idx="4">
                  <c:v>24.02</c:v>
                </c:pt>
                <c:pt idx="5">
                  <c:v>25.02</c:v>
                </c:pt>
                <c:pt idx="6">
                  <c:v>26.02</c:v>
                </c:pt>
                <c:pt idx="7">
                  <c:v>27.02</c:v>
                </c:pt>
                <c:pt idx="8">
                  <c:v>28.02</c:v>
                </c:pt>
                <c:pt idx="9">
                  <c:v>1.03</c:v>
                </c:pt>
                <c:pt idx="10">
                  <c:v>2.0299999999999998</c:v>
                </c:pt>
                <c:pt idx="11">
                  <c:v>3.03</c:v>
                </c:pt>
                <c:pt idx="12">
                  <c:v>4.03</c:v>
                </c:pt>
                <c:pt idx="13">
                  <c:v>5.03</c:v>
                </c:pt>
                <c:pt idx="14">
                  <c:v>6.03</c:v>
                </c:pt>
                <c:pt idx="15">
                  <c:v>7.03</c:v>
                </c:pt>
                <c:pt idx="16">
                  <c:v>8.0299999999999994</c:v>
                </c:pt>
                <c:pt idx="17">
                  <c:v>9.0299999999999994</c:v>
                </c:pt>
                <c:pt idx="18">
                  <c:v>10.029999999999999</c:v>
                </c:pt>
                <c:pt idx="19">
                  <c:v>11.03</c:v>
                </c:pt>
                <c:pt idx="20">
                  <c:v>12.03</c:v>
                </c:pt>
                <c:pt idx="21">
                  <c:v>13.03</c:v>
                </c:pt>
                <c:pt idx="22">
                  <c:v>14.03</c:v>
                </c:pt>
                <c:pt idx="23">
                  <c:v>15.03</c:v>
                </c:pt>
                <c:pt idx="24">
                  <c:v>16.03</c:v>
                </c:pt>
                <c:pt idx="25">
                  <c:v>17.03</c:v>
                </c:pt>
                <c:pt idx="26">
                  <c:v>18.03</c:v>
                </c:pt>
                <c:pt idx="27">
                  <c:v>19.03</c:v>
                </c:pt>
                <c:pt idx="28">
                  <c:v>20.03</c:v>
                </c:pt>
              </c:numCache>
            </c:numRef>
          </c:cat>
          <c:val>
            <c:numRef>
              <c:f>NEW!$AB$219:$AB$247</c:f>
              <c:numCache>
                <c:formatCode>0.0</c:formatCode>
                <c:ptCount val="29"/>
                <c:pt idx="0">
                  <c:v>174.25811832441013</c:v>
                </c:pt>
                <c:pt idx="1">
                  <c:v>170.33011380451453</c:v>
                </c:pt>
                <c:pt idx="2">
                  <c:v>168.7965777933224</c:v>
                </c:pt>
                <c:pt idx="3">
                  <c:v>159.75678656945306</c:v>
                </c:pt>
                <c:pt idx="4">
                  <c:v>157.03946837418277</c:v>
                </c:pt>
                <c:pt idx="5">
                  <c:v>151.79316096747291</c:v>
                </c:pt>
                <c:pt idx="6">
                  <c:v>147.21945707444377</c:v>
                </c:pt>
                <c:pt idx="7">
                  <c:v>142.86098630579247</c:v>
                </c:pt>
                <c:pt idx="8">
                  <c:v>139.92843498614437</c:v>
                </c:pt>
                <c:pt idx="9">
                  <c:v>139.79391428340821</c:v>
                </c:pt>
                <c:pt idx="10">
                  <c:v>132.287659070731</c:v>
                </c:pt>
                <c:pt idx="11">
                  <c:v>128.89773736177997</c:v>
                </c:pt>
                <c:pt idx="12">
                  <c:v>129.57034087546072</c:v>
                </c:pt>
                <c:pt idx="13">
                  <c:v>128.68250423740213</c:v>
                </c:pt>
                <c:pt idx="14">
                  <c:v>124.32403346875084</c:v>
                </c:pt>
                <c:pt idx="15">
                  <c:v>121.33767386800828</c:v>
                </c:pt>
                <c:pt idx="16">
                  <c:v>121.12244074363045</c:v>
                </c:pt>
                <c:pt idx="17">
                  <c:v>121.66052355457506</c:v>
                </c:pt>
                <c:pt idx="18">
                  <c:v>120.36912480830799</c:v>
                </c:pt>
                <c:pt idx="19">
                  <c:v>119.56200059189109</c:v>
                </c:pt>
                <c:pt idx="20">
                  <c:v>119.75032957572171</c:v>
                </c:pt>
                <c:pt idx="21">
                  <c:v>116.92539481826253</c:v>
                </c:pt>
                <c:pt idx="22">
                  <c:v>114.53092630955904</c:v>
                </c:pt>
                <c:pt idx="23">
                  <c:v>124.67378729586484</c:v>
                </c:pt>
                <c:pt idx="24">
                  <c:v>122.54836019263365</c:v>
                </c:pt>
                <c:pt idx="25">
                  <c:v>122.79049745755873</c:v>
                </c:pt>
                <c:pt idx="26">
                  <c:v>121.98337324114182</c:v>
                </c:pt>
                <c:pt idx="27">
                  <c:v>123.78595065780623</c:v>
                </c:pt>
                <c:pt idx="28">
                  <c:v>124.53926659312867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E56-4C32-ACD5-149CDECEC01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5592920"/>
        <c:axId val="555594232"/>
      </c:lineChart>
      <c:catAx>
        <c:axId val="555592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5594232"/>
        <c:crosses val="autoZero"/>
        <c:auto val="1"/>
        <c:lblAlgn val="ctr"/>
        <c:lblOffset val="100"/>
        <c:noMultiLvlLbl val="0"/>
      </c:catAx>
      <c:valAx>
        <c:axId val="555594232"/>
        <c:scaling>
          <c:orientation val="minMax"/>
          <c:max val="180"/>
          <c:min val="5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5592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სიკვდილიანობა 100 000 მოსახლეზე</a:t>
            </a:r>
            <a:endParaRPr lang="nb-NO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6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5C0-43D1-88B8-C38FB29AC3A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'WHO-total'!$S$2:$S$54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ისლანდია</c:v>
                </c:pt>
                <c:pt idx="3">
                  <c:v>ნორვეგია</c:v>
                </c:pt>
                <c:pt idx="4">
                  <c:v>ფინეთი</c:v>
                </c:pt>
                <c:pt idx="5">
                  <c:v>ყაზახეთი</c:v>
                </c:pt>
                <c:pt idx="6">
                  <c:v>კვიპროსი</c:v>
                </c:pt>
                <c:pt idx="7">
                  <c:v>ბელარუსი</c:v>
                </c:pt>
                <c:pt idx="8">
                  <c:v>ყირგიზეთი</c:v>
                </c:pt>
                <c:pt idx="9">
                  <c:v>აზერბაიჯანი</c:v>
                </c:pt>
                <c:pt idx="10">
                  <c:v>თურქეთი</c:v>
                </c:pt>
                <c:pt idx="11">
                  <c:v>დანია</c:v>
                </c:pt>
                <c:pt idx="12">
                  <c:v>ესტონეთი</c:v>
                </c:pt>
                <c:pt idx="13">
                  <c:v>რუსეთი</c:v>
                </c:pt>
                <c:pt idx="14">
                  <c:v>უკრაინა</c:v>
                </c:pt>
                <c:pt idx="15">
                  <c:v>საბერძნეთი</c:v>
                </c:pt>
                <c:pt idx="16">
                  <c:v>სერბეთი</c:v>
                </c:pt>
                <c:pt idx="17">
                  <c:v>ისრაელი</c:v>
                </c:pt>
                <c:pt idx="18">
                  <c:v>მონაკო</c:v>
                </c:pt>
                <c:pt idx="19">
                  <c:v>ალბანეთი</c:v>
                </c:pt>
                <c:pt idx="20">
                  <c:v>მალტა</c:v>
                </c:pt>
                <c:pt idx="21">
                  <c:v>გერმანია</c:v>
                </c:pt>
                <c:pt idx="22">
                  <c:v>ირლანდია</c:v>
                </c:pt>
                <c:pt idx="23">
                  <c:v>ლატვია</c:v>
                </c:pt>
                <c:pt idx="24">
                  <c:v>ნიდერლანდები</c:v>
                </c:pt>
                <c:pt idx="25">
                  <c:v>ავსტრია</c:v>
                </c:pt>
                <c:pt idx="26">
                  <c:v>საქართველო</c:v>
                </c:pt>
                <c:pt idx="27">
                  <c:v>მოლდოვა</c:v>
                </c:pt>
                <c:pt idx="28">
                  <c:v>შვეიცარია</c:v>
                </c:pt>
                <c:pt idx="29">
                  <c:v>სომხეთი</c:v>
                </c:pt>
                <c:pt idx="30">
                  <c:v>ლუქსემბურგი</c:v>
                </c:pt>
                <c:pt idx="31">
                  <c:v>რუმინეთი</c:v>
                </c:pt>
                <c:pt idx="32">
                  <c:v>პოლონეთი</c:v>
                </c:pt>
                <c:pt idx="33">
                  <c:v>ლიეტუვა</c:v>
                </c:pt>
                <c:pt idx="34">
                  <c:v>შვედეთი</c:v>
                </c:pt>
                <c:pt idx="35">
                  <c:v>საფრანგეთი</c:v>
                </c:pt>
                <c:pt idx="36">
                  <c:v>ხორვატია</c:v>
                </c:pt>
                <c:pt idx="37">
                  <c:v>ლიხტენშტეინი</c:v>
                </c:pt>
                <c:pt idx="38">
                  <c:v>ანდორა</c:v>
                </c:pt>
                <c:pt idx="39">
                  <c:v>ესპანეთი</c:v>
                </c:pt>
                <c:pt idx="40">
                  <c:v>სლოვაკეთი</c:v>
                </c:pt>
                <c:pt idx="41">
                  <c:v>ჩრდ. მაკედონია</c:v>
                </c:pt>
                <c:pt idx="42">
                  <c:v>ბულგარეთი</c:v>
                </c:pt>
                <c:pt idx="43">
                  <c:v>პორტუგალია</c:v>
                </c:pt>
                <c:pt idx="44">
                  <c:v>ბოსნია ჰერცოგოვინა</c:v>
                </c:pt>
                <c:pt idx="45">
                  <c:v>იტალია</c:v>
                </c:pt>
                <c:pt idx="46">
                  <c:v>უნგრეთი</c:v>
                </c:pt>
                <c:pt idx="47">
                  <c:v>მონტენეგრო</c:v>
                </c:pt>
                <c:pt idx="48">
                  <c:v>ინგლისი</c:v>
                </c:pt>
                <c:pt idx="49">
                  <c:v>ბელგია</c:v>
                </c:pt>
                <c:pt idx="50">
                  <c:v>სლოვენია</c:v>
                </c:pt>
                <c:pt idx="51">
                  <c:v>ჩეხეთი</c:v>
                </c:pt>
                <c:pt idx="52">
                  <c:v>სან მარინო</c:v>
                </c:pt>
              </c:strCache>
            </c:strRef>
          </c:cat>
          <c:val>
            <c:numRef>
              <c:f>'WHO-total'!$T$2:$T$54</c:f>
              <c:numCache>
                <c:formatCode>General</c:formatCode>
                <c:ptCount val="53"/>
                <c:pt idx="0">
                  <c:v>1</c:v>
                </c:pt>
                <c:pt idx="1">
                  <c:v>2</c:v>
                </c:pt>
                <c:pt idx="2">
                  <c:v>8</c:v>
                </c:pt>
                <c:pt idx="3">
                  <c:v>12</c:v>
                </c:pt>
                <c:pt idx="4">
                  <c:v>14</c:v>
                </c:pt>
                <c:pt idx="5">
                  <c:v>18</c:v>
                </c:pt>
                <c:pt idx="6">
                  <c:v>20</c:v>
                </c:pt>
                <c:pt idx="7">
                  <c:v>22</c:v>
                </c:pt>
                <c:pt idx="8">
                  <c:v>23</c:v>
                </c:pt>
                <c:pt idx="9" formatCode="0">
                  <c:v>32</c:v>
                </c:pt>
                <c:pt idx="10">
                  <c:v>35</c:v>
                </c:pt>
                <c:pt idx="11">
                  <c:v>41</c:v>
                </c:pt>
                <c:pt idx="12" formatCode="0">
                  <c:v>54</c:v>
                </c:pt>
                <c:pt idx="13" formatCode="0">
                  <c:v>63</c:v>
                </c:pt>
                <c:pt idx="14">
                  <c:v>65</c:v>
                </c:pt>
                <c:pt idx="15">
                  <c:v>67</c:v>
                </c:pt>
                <c:pt idx="16">
                  <c:v>67</c:v>
                </c:pt>
                <c:pt idx="17">
                  <c:v>68</c:v>
                </c:pt>
                <c:pt idx="18">
                  <c:v>69</c:v>
                </c:pt>
                <c:pt idx="19">
                  <c:v>70</c:v>
                </c:pt>
                <c:pt idx="20">
                  <c:v>79</c:v>
                </c:pt>
                <c:pt idx="21" formatCode="0">
                  <c:v>88</c:v>
                </c:pt>
                <c:pt idx="22">
                  <c:v>92</c:v>
                </c:pt>
                <c:pt idx="23">
                  <c:v>93</c:v>
                </c:pt>
                <c:pt idx="24">
                  <c:v>94</c:v>
                </c:pt>
                <c:pt idx="25">
                  <c:v>96</c:v>
                </c:pt>
                <c:pt idx="26">
                  <c:v>99</c:v>
                </c:pt>
                <c:pt idx="27">
                  <c:v>106</c:v>
                </c:pt>
                <c:pt idx="28">
                  <c:v>108</c:v>
                </c:pt>
                <c:pt idx="29">
                  <c:v>110</c:v>
                </c:pt>
                <c:pt idx="30">
                  <c:v>110</c:v>
                </c:pt>
                <c:pt idx="31">
                  <c:v>111</c:v>
                </c:pt>
                <c:pt idx="32">
                  <c:v>125</c:v>
                </c:pt>
                <c:pt idx="33">
                  <c:v>125</c:v>
                </c:pt>
                <c:pt idx="34">
                  <c:v>130</c:v>
                </c:pt>
                <c:pt idx="35" formatCode="0">
                  <c:v>137</c:v>
                </c:pt>
                <c:pt idx="36">
                  <c:v>138</c:v>
                </c:pt>
                <c:pt idx="37">
                  <c:v>142</c:v>
                </c:pt>
                <c:pt idx="38">
                  <c:v>145</c:v>
                </c:pt>
                <c:pt idx="39">
                  <c:v>155</c:v>
                </c:pt>
                <c:pt idx="40">
                  <c:v>156</c:v>
                </c:pt>
                <c:pt idx="41">
                  <c:v>158</c:v>
                </c:pt>
                <c:pt idx="42">
                  <c:v>162</c:v>
                </c:pt>
                <c:pt idx="43">
                  <c:v>164</c:v>
                </c:pt>
                <c:pt idx="44">
                  <c:v>167</c:v>
                </c:pt>
                <c:pt idx="45">
                  <c:v>168</c:v>
                </c:pt>
                <c:pt idx="46">
                  <c:v>176</c:v>
                </c:pt>
                <c:pt idx="47">
                  <c:v>179</c:v>
                </c:pt>
                <c:pt idx="48">
                  <c:v>185</c:v>
                </c:pt>
                <c:pt idx="49">
                  <c:v>194</c:v>
                </c:pt>
                <c:pt idx="50">
                  <c:v>203</c:v>
                </c:pt>
                <c:pt idx="51">
                  <c:v>217</c:v>
                </c:pt>
                <c:pt idx="52">
                  <c:v>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C0-43D1-88B8-C38FB29AC3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79548624"/>
        <c:axId val="879546656"/>
      </c:barChart>
      <c:catAx>
        <c:axId val="879548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79546656"/>
        <c:crosses val="autoZero"/>
        <c:auto val="1"/>
        <c:lblAlgn val="ctr"/>
        <c:lblOffset val="100"/>
        <c:noMultiLvlLbl val="0"/>
      </c:catAx>
      <c:valAx>
        <c:axId val="87954665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79548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'ECDC-14'!$B$1</c:f>
              <c:strCache>
                <c:ptCount val="1"/>
                <c:pt idx="0">
                  <c:v>14 დღიანი კუმულაციური ინციდენტობა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B6C-4207-BD94-E60B7503E1D8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B6C-4207-BD94-E60B7503E1D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'ECDC-14'!$A$2:$A$32</c:f>
              <c:strCache>
                <c:ptCount val="31"/>
                <c:pt idx="0">
                  <c:v>Iceland</c:v>
                </c:pt>
                <c:pt idx="1">
                  <c:v>Portugal</c:v>
                </c:pt>
                <c:pt idx="2">
                  <c:v>Georgia</c:v>
                </c:pt>
                <c:pt idx="3">
                  <c:v>Ireland</c:v>
                </c:pt>
                <c:pt idx="4">
                  <c:v>Spain</c:v>
                </c:pt>
                <c:pt idx="5">
                  <c:v>Germany</c:v>
                </c:pt>
                <c:pt idx="6">
                  <c:v>Denmark</c:v>
                </c:pt>
                <c:pt idx="7">
                  <c:v>Finland</c:v>
                </c:pt>
                <c:pt idx="8">
                  <c:v>Norway</c:v>
                </c:pt>
                <c:pt idx="9">
                  <c:v>Croatia</c:v>
                </c:pt>
                <c:pt idx="10">
                  <c:v>Lithuania</c:v>
                </c:pt>
                <c:pt idx="11">
                  <c:v>Greece</c:v>
                </c:pt>
                <c:pt idx="12">
                  <c:v>Liechtenstein</c:v>
                </c:pt>
                <c:pt idx="13">
                  <c:v>Romania</c:v>
                </c:pt>
                <c:pt idx="14">
                  <c:v>Belgium</c:v>
                </c:pt>
                <c:pt idx="15">
                  <c:v>Austria</c:v>
                </c:pt>
                <c:pt idx="16">
                  <c:v>Luxembourg</c:v>
                </c:pt>
                <c:pt idx="17">
                  <c:v>Latvia</c:v>
                </c:pt>
                <c:pt idx="18">
                  <c:v>Netherlands</c:v>
                </c:pt>
                <c:pt idx="19">
                  <c:v>Bulgaria</c:v>
                </c:pt>
                <c:pt idx="20">
                  <c:v>France</c:v>
                </c:pt>
                <c:pt idx="21">
                  <c:v>Slovenia</c:v>
                </c:pt>
                <c:pt idx="22">
                  <c:v>Italy</c:v>
                </c:pt>
                <c:pt idx="23">
                  <c:v>Slovakia</c:v>
                </c:pt>
                <c:pt idx="24">
                  <c:v>Poland</c:v>
                </c:pt>
                <c:pt idx="25">
                  <c:v>Sweden</c:v>
                </c:pt>
                <c:pt idx="26">
                  <c:v>Cyprus</c:v>
                </c:pt>
                <c:pt idx="27">
                  <c:v>Malta</c:v>
                </c:pt>
                <c:pt idx="28">
                  <c:v>Hungary</c:v>
                </c:pt>
                <c:pt idx="29">
                  <c:v>Estonia</c:v>
                </c:pt>
                <c:pt idx="30">
                  <c:v>Czechia</c:v>
                </c:pt>
              </c:strCache>
            </c:strRef>
          </c:cat>
          <c:val>
            <c:numRef>
              <c:f>'ECDC-14'!$B$2:$B$32</c:f>
              <c:numCache>
                <c:formatCode>General</c:formatCode>
                <c:ptCount val="31"/>
                <c:pt idx="0">
                  <c:v>7.96</c:v>
                </c:pt>
                <c:pt idx="1">
                  <c:v>92.82</c:v>
                </c:pt>
                <c:pt idx="2">
                  <c:v>124.5</c:v>
                </c:pt>
                <c:pt idx="3">
                  <c:v>144</c:v>
                </c:pt>
                <c:pt idx="4">
                  <c:v>146.61000000000001</c:v>
                </c:pt>
                <c:pt idx="5">
                  <c:v>154.85</c:v>
                </c:pt>
                <c:pt idx="6">
                  <c:v>161.07</c:v>
                </c:pt>
                <c:pt idx="7">
                  <c:v>167.77</c:v>
                </c:pt>
                <c:pt idx="8">
                  <c:v>175.83</c:v>
                </c:pt>
                <c:pt idx="9">
                  <c:v>199.84</c:v>
                </c:pt>
                <c:pt idx="10">
                  <c:v>223.54</c:v>
                </c:pt>
                <c:pt idx="11">
                  <c:v>280.33</c:v>
                </c:pt>
                <c:pt idx="12">
                  <c:v>301.95999999999998</c:v>
                </c:pt>
                <c:pt idx="13">
                  <c:v>303.13</c:v>
                </c:pt>
                <c:pt idx="14">
                  <c:v>328.42</c:v>
                </c:pt>
                <c:pt idx="15">
                  <c:v>388.26</c:v>
                </c:pt>
                <c:pt idx="16">
                  <c:v>391.63</c:v>
                </c:pt>
                <c:pt idx="17">
                  <c:v>398.13</c:v>
                </c:pt>
                <c:pt idx="18">
                  <c:v>402.93</c:v>
                </c:pt>
                <c:pt idx="19">
                  <c:v>453.41</c:v>
                </c:pt>
                <c:pt idx="20">
                  <c:v>468.94</c:v>
                </c:pt>
                <c:pt idx="21">
                  <c:v>489.3</c:v>
                </c:pt>
                <c:pt idx="22">
                  <c:v>499.45</c:v>
                </c:pt>
                <c:pt idx="23">
                  <c:v>531.98</c:v>
                </c:pt>
                <c:pt idx="24">
                  <c:v>542.05999999999995</c:v>
                </c:pt>
                <c:pt idx="25">
                  <c:v>545.88</c:v>
                </c:pt>
                <c:pt idx="26">
                  <c:v>556.75</c:v>
                </c:pt>
                <c:pt idx="27">
                  <c:v>693.4</c:v>
                </c:pt>
                <c:pt idx="28">
                  <c:v>934.24</c:v>
                </c:pt>
                <c:pt idx="29">
                  <c:v>1464.13</c:v>
                </c:pt>
                <c:pt idx="30">
                  <c:v>1518.33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B6C-4207-BD94-E60B7503E1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83275496"/>
        <c:axId val="983274840"/>
      </c:barChart>
      <c:catAx>
        <c:axId val="983275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3274840"/>
        <c:crosses val="autoZero"/>
        <c:auto val="1"/>
        <c:lblAlgn val="ctr"/>
        <c:lblOffset val="100"/>
        <c:noMultiLvlLbl val="0"/>
      </c:catAx>
      <c:valAx>
        <c:axId val="9832748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83275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'ECDC-14'!$G$1</c:f>
              <c:strCache>
                <c:ptCount val="1"/>
                <c:pt idx="0">
                  <c:v>14 დღიანი სიკვდილიანობის მაჩვენებელი მილიონ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3DA-4E6D-BBAC-662F8570128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'ECDC-14'!$F$2:$F$32</c:f>
              <c:strCache>
                <c:ptCount val="31"/>
                <c:pt idx="0">
                  <c:v>Iceland</c:v>
                </c:pt>
                <c:pt idx="1">
                  <c:v>Liechtenstein</c:v>
                </c:pt>
                <c:pt idx="2">
                  <c:v>Norway</c:v>
                </c:pt>
                <c:pt idx="3">
                  <c:v>Denmark</c:v>
                </c:pt>
                <c:pt idx="4">
                  <c:v>Finland</c:v>
                </c:pt>
                <c:pt idx="5">
                  <c:v>Sweden</c:v>
                </c:pt>
                <c:pt idx="6">
                  <c:v>Cyprus</c:v>
                </c:pt>
                <c:pt idx="7">
                  <c:v>Austria</c:v>
                </c:pt>
                <c:pt idx="8">
                  <c:v>Netherlands</c:v>
                </c:pt>
                <c:pt idx="9">
                  <c:v>Belgium</c:v>
                </c:pt>
                <c:pt idx="10">
                  <c:v>Portugal</c:v>
                </c:pt>
                <c:pt idx="11">
                  <c:v>Georgia</c:v>
                </c:pt>
                <c:pt idx="12">
                  <c:v>Croatia</c:v>
                </c:pt>
                <c:pt idx="13">
                  <c:v>Germany</c:v>
                </c:pt>
                <c:pt idx="14">
                  <c:v>Ireland</c:v>
                </c:pt>
                <c:pt idx="15">
                  <c:v>Slovenia</c:v>
                </c:pt>
                <c:pt idx="16">
                  <c:v>Greece</c:v>
                </c:pt>
                <c:pt idx="17">
                  <c:v>Lithuania</c:v>
                </c:pt>
                <c:pt idx="18">
                  <c:v>France</c:v>
                </c:pt>
                <c:pt idx="19">
                  <c:v>Spain</c:v>
                </c:pt>
                <c:pt idx="20">
                  <c:v>Romania</c:v>
                </c:pt>
                <c:pt idx="21">
                  <c:v>Malta</c:v>
                </c:pt>
                <c:pt idx="22">
                  <c:v>Italy</c:v>
                </c:pt>
                <c:pt idx="23">
                  <c:v>Latvia</c:v>
                </c:pt>
                <c:pt idx="24">
                  <c:v>Luxembourg</c:v>
                </c:pt>
                <c:pt idx="25">
                  <c:v>Poland</c:v>
                </c:pt>
                <c:pt idx="26">
                  <c:v>Estonia</c:v>
                </c:pt>
                <c:pt idx="27">
                  <c:v>Bulgaria</c:v>
                </c:pt>
                <c:pt idx="28">
                  <c:v>Hungary</c:v>
                </c:pt>
                <c:pt idx="29">
                  <c:v>Slovakia</c:v>
                </c:pt>
                <c:pt idx="30">
                  <c:v>Czechia</c:v>
                </c:pt>
              </c:strCache>
            </c:strRef>
          </c:cat>
          <c:val>
            <c:numRef>
              <c:f>'ECDC-14'!$G$2:$G$32</c:f>
              <c:numCache>
                <c:formatCode>General</c:formatCode>
                <c:ptCount val="31"/>
                <c:pt idx="0">
                  <c:v>0</c:v>
                </c:pt>
                <c:pt idx="1">
                  <c:v>0</c:v>
                </c:pt>
                <c:pt idx="2">
                  <c:v>3.17</c:v>
                </c:pt>
                <c:pt idx="3">
                  <c:v>4.8099999999999996</c:v>
                </c:pt>
                <c:pt idx="4">
                  <c:v>9.0500000000000007</c:v>
                </c:pt>
                <c:pt idx="5">
                  <c:v>10.07</c:v>
                </c:pt>
                <c:pt idx="6">
                  <c:v>10.14</c:v>
                </c:pt>
                <c:pt idx="7">
                  <c:v>28.65</c:v>
                </c:pt>
                <c:pt idx="8">
                  <c:v>28.84</c:v>
                </c:pt>
                <c:pt idx="9">
                  <c:v>29.85</c:v>
                </c:pt>
                <c:pt idx="10">
                  <c:v>33.31</c:v>
                </c:pt>
                <c:pt idx="11">
                  <c:v>33.4</c:v>
                </c:pt>
                <c:pt idx="12">
                  <c:v>36.47</c:v>
                </c:pt>
                <c:pt idx="13">
                  <c:v>39.840000000000003</c:v>
                </c:pt>
                <c:pt idx="14">
                  <c:v>43.31</c:v>
                </c:pt>
                <c:pt idx="15">
                  <c:v>51.05</c:v>
                </c:pt>
                <c:pt idx="16">
                  <c:v>54.76</c:v>
                </c:pt>
                <c:pt idx="17">
                  <c:v>56.19</c:v>
                </c:pt>
                <c:pt idx="18">
                  <c:v>59.43</c:v>
                </c:pt>
                <c:pt idx="19">
                  <c:v>59.47</c:v>
                </c:pt>
                <c:pt idx="20">
                  <c:v>60.12</c:v>
                </c:pt>
                <c:pt idx="21">
                  <c:v>73.849999999999994</c:v>
                </c:pt>
                <c:pt idx="22">
                  <c:v>74.55</c:v>
                </c:pt>
                <c:pt idx="23">
                  <c:v>78.11</c:v>
                </c:pt>
                <c:pt idx="24">
                  <c:v>81.459999999999994</c:v>
                </c:pt>
                <c:pt idx="25">
                  <c:v>89.91</c:v>
                </c:pt>
                <c:pt idx="26">
                  <c:v>97.82</c:v>
                </c:pt>
                <c:pt idx="27">
                  <c:v>157.38</c:v>
                </c:pt>
                <c:pt idx="28">
                  <c:v>207.28</c:v>
                </c:pt>
                <c:pt idx="29">
                  <c:v>244.6</c:v>
                </c:pt>
                <c:pt idx="30">
                  <c:v>272.12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DA-4E6D-BBAC-662F8570128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00999208"/>
        <c:axId val="801004456"/>
      </c:barChart>
      <c:catAx>
        <c:axId val="800999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01004456"/>
        <c:crosses val="autoZero"/>
        <c:auto val="1"/>
        <c:lblAlgn val="ctr"/>
        <c:lblOffset val="100"/>
        <c:noMultiLvlLbl val="0"/>
      </c:catAx>
      <c:valAx>
        <c:axId val="80100445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00999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22868858052893756"/>
          <c:y val="7.8849783706739104E-2"/>
          <c:w val="0.77131135691462371"/>
          <c:h val="0.898583603085145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'change%'!$B$1</c:f>
              <c:strCache>
                <c:ptCount val="1"/>
                <c:pt idx="0">
                  <c:v>შემთხვევათა მატება ბოლო 2 კვირაში, წინა 2 კვირასთან შედარებით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80E-4469-96B1-B7F9FA267B5E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80E-4469-96B1-B7F9FA267B5E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80E-4469-96B1-B7F9FA267B5E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80E-4469-96B1-B7F9FA267B5E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80E-4469-96B1-B7F9FA267B5E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C80E-4469-96B1-B7F9FA267B5E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C80E-4469-96B1-B7F9FA267B5E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C80E-4469-96B1-B7F9FA267B5E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C80E-4469-96B1-B7F9FA267B5E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C80E-4469-96B1-B7F9FA267B5E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C80E-4469-96B1-B7F9FA267B5E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C80E-4469-96B1-B7F9FA267B5E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C80E-4469-96B1-B7F9FA267B5E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C80E-4469-96B1-B7F9FA267B5E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C80E-4469-96B1-B7F9FA267B5E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C80E-4469-96B1-B7F9FA267B5E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C80E-4469-96B1-B7F9FA267B5E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C80E-4469-96B1-B7F9FA267B5E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C80E-4469-96B1-B7F9FA267B5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'change%'!$A$2:$A$49</c:f>
              <c:strCache>
                <c:ptCount val="48"/>
                <c:pt idx="0">
                  <c:v>ისრაელი</c:v>
                </c:pt>
                <c:pt idx="1">
                  <c:v>პორტუგალია</c:v>
                </c:pt>
                <c:pt idx="2">
                  <c:v>ინგლისი</c:v>
                </c:pt>
                <c:pt idx="3">
                  <c:v>ლატვია</c:v>
                </c:pt>
                <c:pt idx="4">
                  <c:v>სლოვაკეთი</c:v>
                </c:pt>
                <c:pt idx="5">
                  <c:v>ლიეტუვა</c:v>
                </c:pt>
                <c:pt idx="6">
                  <c:v>ბელარუსი</c:v>
                </c:pt>
                <c:pt idx="7">
                  <c:v>რუსეთი</c:v>
                </c:pt>
                <c:pt idx="8">
                  <c:v>ირლანდია</c:v>
                </c:pt>
                <c:pt idx="9">
                  <c:v>ლიხტენშტეინი</c:v>
                </c:pt>
                <c:pt idx="10">
                  <c:v>ჩეხეთი</c:v>
                </c:pt>
                <c:pt idx="11">
                  <c:v>სან მარინო</c:v>
                </c:pt>
                <c:pt idx="12">
                  <c:v>სლოვენია</c:v>
                </c:pt>
                <c:pt idx="13">
                  <c:v>საქართველო</c:v>
                </c:pt>
                <c:pt idx="14">
                  <c:v>ლუქსემბურგი</c:v>
                </c:pt>
                <c:pt idx="15">
                  <c:v>მოლდოვა</c:v>
                </c:pt>
                <c:pt idx="16">
                  <c:v>მალტა</c:v>
                </c:pt>
                <c:pt idx="17">
                  <c:v>შვედეთი</c:v>
                </c:pt>
                <c:pt idx="18">
                  <c:v>საფრანგეთი</c:v>
                </c:pt>
                <c:pt idx="19">
                  <c:v>ფინეთი</c:v>
                </c:pt>
                <c:pt idx="20">
                  <c:v>ესტონეთი</c:v>
                </c:pt>
                <c:pt idx="21">
                  <c:v>იტალია</c:v>
                </c:pt>
                <c:pt idx="22">
                  <c:v>ყირგიზეთი</c:v>
                </c:pt>
                <c:pt idx="23">
                  <c:v>ყაზახეთი</c:v>
                </c:pt>
                <c:pt idx="24">
                  <c:v>შვეიცარია</c:v>
                </c:pt>
                <c:pt idx="25">
                  <c:v>ბელგია</c:v>
                </c:pt>
                <c:pt idx="26">
                  <c:v>ნიდერლანდები</c:v>
                </c:pt>
                <c:pt idx="27">
                  <c:v>საბერძნეთი</c:v>
                </c:pt>
                <c:pt idx="28">
                  <c:v>ავსტრია</c:v>
                </c:pt>
                <c:pt idx="29">
                  <c:v>სერბეთი</c:v>
                </c:pt>
                <c:pt idx="30">
                  <c:v>რუმინეთი</c:v>
                </c:pt>
                <c:pt idx="31">
                  <c:v>დანია</c:v>
                </c:pt>
                <c:pt idx="32">
                  <c:v>გერმანია</c:v>
                </c:pt>
                <c:pt idx="33">
                  <c:v>უკრაინა</c:v>
                </c:pt>
                <c:pt idx="34">
                  <c:v>ჩრდ. მაკედონია</c:v>
                </c:pt>
                <c:pt idx="35">
                  <c:v>კვიპროსი</c:v>
                </c:pt>
                <c:pt idx="36">
                  <c:v>თურქეთი</c:v>
                </c:pt>
                <c:pt idx="37">
                  <c:v>ხორვატია</c:v>
                </c:pt>
                <c:pt idx="38">
                  <c:v>უნგრეთი</c:v>
                </c:pt>
                <c:pt idx="39">
                  <c:v>პოლონეთი</c:v>
                </c:pt>
                <c:pt idx="40">
                  <c:v>ბულგარეთი</c:v>
                </c:pt>
                <c:pt idx="41">
                  <c:v>ნორვეგია</c:v>
                </c:pt>
                <c:pt idx="42">
                  <c:v>ბოსნია ჰერცოგოვინა</c:v>
                </c:pt>
                <c:pt idx="43">
                  <c:v>სომხეთი</c:v>
                </c:pt>
                <c:pt idx="44">
                  <c:v>უზბეკეთი</c:v>
                </c:pt>
                <c:pt idx="45">
                  <c:v>აზერბაიჯანი</c:v>
                </c:pt>
                <c:pt idx="46">
                  <c:v>ისლანდია</c:v>
                </c:pt>
                <c:pt idx="47">
                  <c:v>ესპანეთი</c:v>
                </c:pt>
              </c:strCache>
            </c:strRef>
          </c:cat>
          <c:val>
            <c:numRef>
              <c:f>'change%'!$B$2:$B$49</c:f>
              <c:numCache>
                <c:formatCode>0%</c:formatCode>
                <c:ptCount val="48"/>
                <c:pt idx="0">
                  <c:v>-0.5</c:v>
                </c:pt>
                <c:pt idx="1">
                  <c:v>-0.41</c:v>
                </c:pt>
                <c:pt idx="2">
                  <c:v>-0.27</c:v>
                </c:pt>
                <c:pt idx="3">
                  <c:v>-0.2</c:v>
                </c:pt>
                <c:pt idx="4">
                  <c:v>-0.18</c:v>
                </c:pt>
                <c:pt idx="5">
                  <c:v>-0.17</c:v>
                </c:pt>
                <c:pt idx="6">
                  <c:v>-0.15</c:v>
                </c:pt>
                <c:pt idx="7">
                  <c:v>-0.15</c:v>
                </c:pt>
                <c:pt idx="8">
                  <c:v>-0.14000000000000001</c:v>
                </c:pt>
                <c:pt idx="9">
                  <c:v>-0.14000000000000001</c:v>
                </c:pt>
                <c:pt idx="10">
                  <c:v>-0.11</c:v>
                </c:pt>
                <c:pt idx="11">
                  <c:v>-0.04</c:v>
                </c:pt>
                <c:pt idx="12">
                  <c:v>-0.03</c:v>
                </c:pt>
                <c:pt idx="13">
                  <c:v>0.02</c:v>
                </c:pt>
                <c:pt idx="14">
                  <c:v>0.06</c:v>
                </c:pt>
                <c:pt idx="15">
                  <c:v>7.0000000000000007E-2</c:v>
                </c:pt>
                <c:pt idx="16">
                  <c:v>7.0000000000000007E-2</c:v>
                </c:pt>
                <c:pt idx="17">
                  <c:v>0.1</c:v>
                </c:pt>
                <c:pt idx="18">
                  <c:v>0.12</c:v>
                </c:pt>
                <c:pt idx="19">
                  <c:v>0.16</c:v>
                </c:pt>
                <c:pt idx="20">
                  <c:v>0.22</c:v>
                </c:pt>
                <c:pt idx="21">
                  <c:v>0.23</c:v>
                </c:pt>
                <c:pt idx="22">
                  <c:v>0.25</c:v>
                </c:pt>
                <c:pt idx="23">
                  <c:v>0.25</c:v>
                </c:pt>
                <c:pt idx="24">
                  <c:v>0.26</c:v>
                </c:pt>
                <c:pt idx="25">
                  <c:v>0.26</c:v>
                </c:pt>
                <c:pt idx="26">
                  <c:v>0.26</c:v>
                </c:pt>
                <c:pt idx="27">
                  <c:v>0.26</c:v>
                </c:pt>
                <c:pt idx="28">
                  <c:v>0.31</c:v>
                </c:pt>
                <c:pt idx="29">
                  <c:v>0.34</c:v>
                </c:pt>
                <c:pt idx="30">
                  <c:v>0.42</c:v>
                </c:pt>
                <c:pt idx="31">
                  <c:v>0.45</c:v>
                </c:pt>
                <c:pt idx="32">
                  <c:v>0.47</c:v>
                </c:pt>
                <c:pt idx="33">
                  <c:v>0.49</c:v>
                </c:pt>
                <c:pt idx="34">
                  <c:v>0.53</c:v>
                </c:pt>
                <c:pt idx="35">
                  <c:v>0.55000000000000004</c:v>
                </c:pt>
                <c:pt idx="36">
                  <c:v>0.63</c:v>
                </c:pt>
                <c:pt idx="37">
                  <c:v>0.66</c:v>
                </c:pt>
                <c:pt idx="38">
                  <c:v>0.69</c:v>
                </c:pt>
                <c:pt idx="39">
                  <c:v>0.71</c:v>
                </c:pt>
                <c:pt idx="40">
                  <c:v>0.83</c:v>
                </c:pt>
                <c:pt idx="41">
                  <c:v>0.9</c:v>
                </c:pt>
                <c:pt idx="42">
                  <c:v>0.98</c:v>
                </c:pt>
                <c:pt idx="43">
                  <c:v>1.2</c:v>
                </c:pt>
                <c:pt idx="44">
                  <c:v>1.46</c:v>
                </c:pt>
                <c:pt idx="45">
                  <c:v>1.69</c:v>
                </c:pt>
                <c:pt idx="46">
                  <c:v>1.71</c:v>
                </c:pt>
                <c:pt idx="47">
                  <c:v>2.98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6-C80E-4469-96B1-B7F9FA267B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92311000"/>
        <c:axId val="792307720"/>
      </c:barChart>
      <c:catAx>
        <c:axId val="792311000"/>
        <c:scaling>
          <c:orientation val="minMax"/>
        </c:scaling>
        <c:delete val="0"/>
        <c:axPos val="l"/>
        <c:numFmt formatCode="General" sourceLinked="1"/>
        <c:majorTickMark val="out"/>
        <c:minorTickMark val="out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92307720"/>
        <c:crosses val="autoZero"/>
        <c:auto val="1"/>
        <c:lblAlgn val="ctr"/>
        <c:lblOffset val="1"/>
        <c:noMultiLvlLbl val="0"/>
      </c:catAx>
      <c:valAx>
        <c:axId val="79230772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792311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D42-4DFB-A0BB-F972412A32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'NY,cases'!$A$2:$A$51</c:f>
              <c:strCache>
                <c:ptCount val="50"/>
                <c:pt idx="0">
                  <c:v>Romania</c:v>
                </c:pt>
                <c:pt idx="1">
                  <c:v>Colombia</c:v>
                </c:pt>
                <c:pt idx="2">
                  <c:v>Ireland</c:v>
                </c:pt>
                <c:pt idx="3">
                  <c:v>West Bank &amp; Gaza</c:v>
                </c:pt>
                <c:pt idx="4">
                  <c:v>Chile</c:v>
                </c:pt>
                <c:pt idx="5">
                  <c:v>Argentina</c:v>
                </c:pt>
                <c:pt idx="6">
                  <c:v>Latvia</c:v>
                </c:pt>
                <c:pt idx="7">
                  <c:v>Sint Maarten</c:v>
                </c:pt>
                <c:pt idx="8">
                  <c:v>Kuwait</c:v>
                </c:pt>
                <c:pt idx="9">
                  <c:v>Jordan</c:v>
                </c:pt>
                <c:pt idx="10">
                  <c:v>Poland</c:v>
                </c:pt>
                <c:pt idx="11">
                  <c:v>Italy ›</c:v>
                </c:pt>
                <c:pt idx="12">
                  <c:v>Monaco</c:v>
                </c:pt>
                <c:pt idx="13">
                  <c:v>North Macedonia</c:v>
                </c:pt>
                <c:pt idx="14">
                  <c:v>Brazil ›</c:v>
                </c:pt>
                <c:pt idx="15">
                  <c:v>Hungary</c:v>
                </c:pt>
                <c:pt idx="16">
                  <c:v>Malta</c:v>
                </c:pt>
                <c:pt idx="17">
                  <c:v>Austria</c:v>
                </c:pt>
                <c:pt idx="18">
                  <c:v>Moldova</c:v>
                </c:pt>
                <c:pt idx="19">
                  <c:v>Turks and Caicos Islands</c:v>
                </c:pt>
                <c:pt idx="20">
                  <c:v>Armenia</c:v>
                </c:pt>
                <c:pt idx="21">
                  <c:v>Qatar</c:v>
                </c:pt>
                <c:pt idx="22">
                  <c:v>Croatia</c:v>
                </c:pt>
                <c:pt idx="23">
                  <c:v>France ›</c:v>
                </c:pt>
                <c:pt idx="24">
                  <c:v>Lebanon</c:v>
                </c:pt>
                <c:pt idx="25">
                  <c:v>Slovakia</c:v>
                </c:pt>
                <c:pt idx="26">
                  <c:v>U.K. ›</c:v>
                </c:pt>
                <c:pt idx="27">
                  <c:v>Switzerland</c:v>
                </c:pt>
                <c:pt idx="28">
                  <c:v>Spain ›</c:v>
                </c:pt>
                <c:pt idx="29">
                  <c:v>Liechtenstein</c:v>
                </c:pt>
                <c:pt idx="30">
                  <c:v>Netherlands</c:v>
                </c:pt>
                <c:pt idx="31">
                  <c:v>Estonia</c:v>
                </c:pt>
                <c:pt idx="32">
                  <c:v>Belgium</c:v>
                </c:pt>
                <c:pt idx="33">
                  <c:v>Sweden</c:v>
                </c:pt>
                <c:pt idx="34">
                  <c:v>Georgia</c:v>
                </c:pt>
                <c:pt idx="35">
                  <c:v>Lithuania</c:v>
                </c:pt>
                <c:pt idx="36">
                  <c:v>Serbia</c:v>
                </c:pt>
                <c:pt idx="37">
                  <c:v>Portugal</c:v>
                </c:pt>
                <c:pt idx="38">
                  <c:v>Aruba</c:v>
                </c:pt>
                <c:pt idx="39">
                  <c:v>Panama</c:v>
                </c:pt>
                <c:pt idx="40">
                  <c:v>Bahrain</c:v>
                </c:pt>
                <c:pt idx="41">
                  <c:v>United States ›</c:v>
                </c:pt>
                <c:pt idx="42">
                  <c:v>Israel</c:v>
                </c:pt>
                <c:pt idx="43">
                  <c:v>Luxembourg</c:v>
                </c:pt>
                <c:pt idx="44">
                  <c:v>Slovenia</c:v>
                </c:pt>
                <c:pt idx="45">
                  <c:v>Gibraltar</c:v>
                </c:pt>
                <c:pt idx="46">
                  <c:v>San Marino</c:v>
                </c:pt>
                <c:pt idx="47">
                  <c:v>Czech Republic</c:v>
                </c:pt>
                <c:pt idx="48">
                  <c:v>Montenegro</c:v>
                </c:pt>
                <c:pt idx="49">
                  <c:v>Andorra</c:v>
                </c:pt>
              </c:strCache>
            </c:strRef>
          </c:cat>
          <c:val>
            <c:numRef>
              <c:f>'NY,cases'!$B$2:$B$51</c:f>
              <c:numCache>
                <c:formatCode>#,##0</c:formatCode>
                <c:ptCount val="50"/>
                <c:pt idx="0">
                  <c:v>4585</c:v>
                </c:pt>
                <c:pt idx="1">
                  <c:v>4682</c:v>
                </c:pt>
                <c:pt idx="2">
                  <c:v>4735</c:v>
                </c:pt>
                <c:pt idx="3">
                  <c:v>4845</c:v>
                </c:pt>
                <c:pt idx="4">
                  <c:v>4939</c:v>
                </c:pt>
                <c:pt idx="5">
                  <c:v>5038</c:v>
                </c:pt>
                <c:pt idx="6">
                  <c:v>5043</c:v>
                </c:pt>
                <c:pt idx="7">
                  <c:v>5168</c:v>
                </c:pt>
                <c:pt idx="8">
                  <c:v>5268</c:v>
                </c:pt>
                <c:pt idx="9">
                  <c:v>5290</c:v>
                </c:pt>
                <c:pt idx="10">
                  <c:v>5363</c:v>
                </c:pt>
                <c:pt idx="11">
                  <c:v>5554</c:v>
                </c:pt>
                <c:pt idx="12">
                  <c:v>5618</c:v>
                </c:pt>
                <c:pt idx="13">
                  <c:v>5700</c:v>
                </c:pt>
                <c:pt idx="14">
                  <c:v>5705</c:v>
                </c:pt>
                <c:pt idx="15">
                  <c:v>5742</c:v>
                </c:pt>
                <c:pt idx="16">
                  <c:v>5771</c:v>
                </c:pt>
                <c:pt idx="17">
                  <c:v>5781</c:v>
                </c:pt>
                <c:pt idx="18">
                  <c:v>6041</c:v>
                </c:pt>
                <c:pt idx="19">
                  <c:v>6080</c:v>
                </c:pt>
                <c:pt idx="20">
                  <c:v>6204</c:v>
                </c:pt>
                <c:pt idx="21">
                  <c:v>6227</c:v>
                </c:pt>
                <c:pt idx="22">
                  <c:v>6280</c:v>
                </c:pt>
                <c:pt idx="23">
                  <c:v>6295</c:v>
                </c:pt>
                <c:pt idx="24">
                  <c:v>6374</c:v>
                </c:pt>
                <c:pt idx="25">
                  <c:v>6388</c:v>
                </c:pt>
                <c:pt idx="26">
                  <c:v>6454</c:v>
                </c:pt>
                <c:pt idx="27">
                  <c:v>6817</c:v>
                </c:pt>
                <c:pt idx="28">
                  <c:v>6875</c:v>
                </c:pt>
                <c:pt idx="29">
                  <c:v>6930</c:v>
                </c:pt>
                <c:pt idx="30">
                  <c:v>7031</c:v>
                </c:pt>
                <c:pt idx="31">
                  <c:v>7119</c:v>
                </c:pt>
                <c:pt idx="32">
                  <c:v>7249</c:v>
                </c:pt>
                <c:pt idx="33">
                  <c:v>7309</c:v>
                </c:pt>
                <c:pt idx="34">
                  <c:v>7430</c:v>
                </c:pt>
                <c:pt idx="35">
                  <c:v>7480</c:v>
                </c:pt>
                <c:pt idx="36">
                  <c:v>7833</c:v>
                </c:pt>
                <c:pt idx="37">
                  <c:v>7947</c:v>
                </c:pt>
                <c:pt idx="38">
                  <c:v>8249</c:v>
                </c:pt>
                <c:pt idx="39">
                  <c:v>8385</c:v>
                </c:pt>
                <c:pt idx="40">
                  <c:v>8623</c:v>
                </c:pt>
                <c:pt idx="41">
                  <c:v>8984</c:v>
                </c:pt>
                <c:pt idx="42">
                  <c:v>9312</c:v>
                </c:pt>
                <c:pt idx="43">
                  <c:v>9701</c:v>
                </c:pt>
                <c:pt idx="44">
                  <c:v>9941</c:v>
                </c:pt>
                <c:pt idx="45">
                  <c:v>12664</c:v>
                </c:pt>
                <c:pt idx="46">
                  <c:v>12893</c:v>
                </c:pt>
                <c:pt idx="47">
                  <c:v>13735</c:v>
                </c:pt>
                <c:pt idx="48">
                  <c:v>13944</c:v>
                </c:pt>
                <c:pt idx="49">
                  <c:v>14909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42-4DFB-A0BB-F972412A32D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0497912"/>
        <c:axId val="780506768"/>
      </c:barChart>
      <c:catAx>
        <c:axId val="780497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80506768"/>
        <c:crosses val="autoZero"/>
        <c:auto val="1"/>
        <c:lblAlgn val="ctr"/>
        <c:lblOffset val="100"/>
        <c:noMultiLvlLbl val="0"/>
      </c:catAx>
      <c:valAx>
        <c:axId val="780506768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780497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A1E-41FE-8A93-BA572F304B3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'NY,cases'!$H$4:$H$71</c:f>
              <c:strCache>
                <c:ptCount val="68"/>
                <c:pt idx="0">
                  <c:v>Georgia</c:v>
                </c:pt>
                <c:pt idx="1">
                  <c:v>Oman</c:v>
                </c:pt>
                <c:pt idx="2">
                  <c:v>Cape Verde</c:v>
                </c:pt>
                <c:pt idx="3">
                  <c:v>Antigua and Barbuda</c:v>
                </c:pt>
                <c:pt idx="4">
                  <c:v>Denmark</c:v>
                </c:pt>
                <c:pt idx="5">
                  <c:v>Belarus</c:v>
                </c:pt>
                <c:pt idx="6">
                  <c:v>Finland</c:v>
                </c:pt>
                <c:pt idx="7">
                  <c:v>Iraq</c:v>
                </c:pt>
                <c:pt idx="8">
                  <c:v>Libya</c:v>
                </c:pt>
                <c:pt idx="9">
                  <c:v>Israel</c:v>
                </c:pt>
                <c:pt idx="10">
                  <c:v>Argentina</c:v>
                </c:pt>
                <c:pt idx="11">
                  <c:v>Germany ›</c:v>
                </c:pt>
                <c:pt idx="12">
                  <c:v>Switzerland</c:v>
                </c:pt>
                <c:pt idx="13">
                  <c:v>United States ›</c:v>
                </c:pt>
                <c:pt idx="14">
                  <c:v>Qatar</c:v>
                </c:pt>
                <c:pt idx="15">
                  <c:v>Norway</c:v>
                </c:pt>
                <c:pt idx="16">
                  <c:v>Lithuania</c:v>
                </c:pt>
                <c:pt idx="17">
                  <c:v>Albania</c:v>
                </c:pt>
                <c:pt idx="18">
                  <c:v>Greece</c:v>
                </c:pt>
                <c:pt idx="19">
                  <c:v>U.A.E.</c:v>
                </c:pt>
                <c:pt idx="20">
                  <c:v>Croatia</c:v>
                </c:pt>
                <c:pt idx="21">
                  <c:v>Turkey</c:v>
                </c:pt>
                <c:pt idx="22">
                  <c:v>Peru</c:v>
                </c:pt>
                <c:pt idx="23">
                  <c:v>Jamaica</c:v>
                </c:pt>
                <c:pt idx="24">
                  <c:v>Armenia</c:v>
                </c:pt>
                <c:pt idx="25">
                  <c:v>Maldives</c:v>
                </c:pt>
                <c:pt idx="26">
                  <c:v>Monaco</c:v>
                </c:pt>
                <c:pt idx="27">
                  <c:v>Latvia</c:v>
                </c:pt>
                <c:pt idx="28">
                  <c:v>Ukraine</c:v>
                </c:pt>
                <c:pt idx="29">
                  <c:v>Belgium</c:v>
                </c:pt>
                <c:pt idx="30">
                  <c:v>Paraguay</c:v>
                </c:pt>
                <c:pt idx="31">
                  <c:v>Romania</c:v>
                </c:pt>
                <c:pt idx="32">
                  <c:v>Chile</c:v>
                </c:pt>
                <c:pt idx="33">
                  <c:v>Cyprus</c:v>
                </c:pt>
                <c:pt idx="34">
                  <c:v>Slovakia</c:v>
                </c:pt>
                <c:pt idx="35">
                  <c:v>Austria</c:v>
                </c:pt>
                <c:pt idx="36">
                  <c:v>Kuwait</c:v>
                </c:pt>
                <c:pt idx="37">
                  <c:v>Kosovo</c:v>
                </c:pt>
                <c:pt idx="38">
                  <c:v>Turks and Caicos Islands</c:v>
                </c:pt>
                <c:pt idx="39">
                  <c:v>Luxembourg</c:v>
                </c:pt>
                <c:pt idx="40">
                  <c:v>Brazil ›</c:v>
                </c:pt>
                <c:pt idx="41">
                  <c:v>Netherlands</c:v>
                </c:pt>
                <c:pt idx="42">
                  <c:v>France ›</c:v>
                </c:pt>
                <c:pt idx="43">
                  <c:v>Italy ›</c:v>
                </c:pt>
                <c:pt idx="44">
                  <c:v>Bosnia and Herzegovina</c:v>
                </c:pt>
                <c:pt idx="45">
                  <c:v>Slovenia</c:v>
                </c:pt>
                <c:pt idx="46">
                  <c:v>Isle of Man</c:v>
                </c:pt>
                <c:pt idx="47">
                  <c:v>Uruguay</c:v>
                </c:pt>
                <c:pt idx="48">
                  <c:v>Moldova</c:v>
                </c:pt>
                <c:pt idx="49">
                  <c:v>Lebanon</c:v>
                </c:pt>
                <c:pt idx="50">
                  <c:v>West Bank &amp; Gaza</c:v>
                </c:pt>
                <c:pt idx="51">
                  <c:v>North Macedonia</c:v>
                </c:pt>
                <c:pt idx="52">
                  <c:v>Bahrain</c:v>
                </c:pt>
                <c:pt idx="53">
                  <c:v>Sweden</c:v>
                </c:pt>
                <c:pt idx="54">
                  <c:v>Andorra</c:v>
                </c:pt>
                <c:pt idx="55">
                  <c:v>Malta</c:v>
                </c:pt>
                <c:pt idx="56">
                  <c:v>Aruba</c:v>
                </c:pt>
                <c:pt idx="57">
                  <c:v>Bulgaria</c:v>
                </c:pt>
                <c:pt idx="58">
                  <c:v>Poland</c:v>
                </c:pt>
                <c:pt idx="59">
                  <c:v>Curaçao</c:v>
                </c:pt>
                <c:pt idx="60">
                  <c:v>Serbia</c:v>
                </c:pt>
                <c:pt idx="61">
                  <c:v>Hungary</c:v>
                </c:pt>
                <c:pt idx="62">
                  <c:v>Montenegro</c:v>
                </c:pt>
                <c:pt idx="63">
                  <c:v>Jordan</c:v>
                </c:pt>
                <c:pt idx="64">
                  <c:v>Seychelles</c:v>
                </c:pt>
                <c:pt idx="65">
                  <c:v>Czech Republic</c:v>
                </c:pt>
                <c:pt idx="66">
                  <c:v>San Marino</c:v>
                </c:pt>
                <c:pt idx="67">
                  <c:v>Estonia</c:v>
                </c:pt>
              </c:strCache>
            </c:strRef>
          </c:cat>
          <c:val>
            <c:numRef>
              <c:f>'NY,cases'!$I$4:$I$71</c:f>
              <c:numCache>
                <c:formatCode>General</c:formatCode>
                <c:ptCount val="68"/>
                <c:pt idx="0">
                  <c:v>10</c:v>
                </c:pt>
                <c:pt idx="1">
                  <c:v>11</c:v>
                </c:pt>
                <c:pt idx="2">
                  <c:v>11</c:v>
                </c:pt>
                <c:pt idx="3">
                  <c:v>11</c:v>
                </c:pt>
                <c:pt idx="4">
                  <c:v>12</c:v>
                </c:pt>
                <c:pt idx="5">
                  <c:v>12</c:v>
                </c:pt>
                <c:pt idx="6">
                  <c:v>13</c:v>
                </c:pt>
                <c:pt idx="7">
                  <c:v>13</c:v>
                </c:pt>
                <c:pt idx="8">
                  <c:v>14</c:v>
                </c:pt>
                <c:pt idx="9">
                  <c:v>15</c:v>
                </c:pt>
                <c:pt idx="10">
                  <c:v>16</c:v>
                </c:pt>
                <c:pt idx="11">
                  <c:v>17</c:v>
                </c:pt>
                <c:pt idx="12">
                  <c:v>17</c:v>
                </c:pt>
                <c:pt idx="13">
                  <c:v>17</c:v>
                </c:pt>
                <c:pt idx="14">
                  <c:v>18</c:v>
                </c:pt>
                <c:pt idx="15">
                  <c:v>18</c:v>
                </c:pt>
                <c:pt idx="16">
                  <c:v>19</c:v>
                </c:pt>
                <c:pt idx="17">
                  <c:v>19</c:v>
                </c:pt>
                <c:pt idx="18">
                  <c:v>21</c:v>
                </c:pt>
                <c:pt idx="19">
                  <c:v>21</c:v>
                </c:pt>
                <c:pt idx="20">
                  <c:v>22</c:v>
                </c:pt>
                <c:pt idx="21">
                  <c:v>22</c:v>
                </c:pt>
                <c:pt idx="22">
                  <c:v>22</c:v>
                </c:pt>
                <c:pt idx="23">
                  <c:v>23</c:v>
                </c:pt>
                <c:pt idx="24">
                  <c:v>25</c:v>
                </c:pt>
                <c:pt idx="25">
                  <c:v>25</c:v>
                </c:pt>
                <c:pt idx="26">
                  <c:v>25</c:v>
                </c:pt>
                <c:pt idx="27">
                  <c:v>27</c:v>
                </c:pt>
                <c:pt idx="28">
                  <c:v>27</c:v>
                </c:pt>
                <c:pt idx="29">
                  <c:v>28</c:v>
                </c:pt>
                <c:pt idx="30">
                  <c:v>28</c:v>
                </c:pt>
                <c:pt idx="31">
                  <c:v>28</c:v>
                </c:pt>
                <c:pt idx="32">
                  <c:v>30</c:v>
                </c:pt>
                <c:pt idx="33">
                  <c:v>31</c:v>
                </c:pt>
                <c:pt idx="34">
                  <c:v>31</c:v>
                </c:pt>
                <c:pt idx="35">
                  <c:v>33</c:v>
                </c:pt>
                <c:pt idx="36">
                  <c:v>33</c:v>
                </c:pt>
                <c:pt idx="37">
                  <c:v>33</c:v>
                </c:pt>
                <c:pt idx="38">
                  <c:v>34</c:v>
                </c:pt>
                <c:pt idx="39">
                  <c:v>34</c:v>
                </c:pt>
                <c:pt idx="40">
                  <c:v>35</c:v>
                </c:pt>
                <c:pt idx="41">
                  <c:v>37</c:v>
                </c:pt>
                <c:pt idx="42">
                  <c:v>37</c:v>
                </c:pt>
                <c:pt idx="43">
                  <c:v>37</c:v>
                </c:pt>
                <c:pt idx="44">
                  <c:v>39</c:v>
                </c:pt>
                <c:pt idx="45">
                  <c:v>39</c:v>
                </c:pt>
                <c:pt idx="46">
                  <c:v>39</c:v>
                </c:pt>
                <c:pt idx="47">
                  <c:v>41</c:v>
                </c:pt>
                <c:pt idx="48">
                  <c:v>42</c:v>
                </c:pt>
                <c:pt idx="49">
                  <c:v>44</c:v>
                </c:pt>
                <c:pt idx="50">
                  <c:v>44</c:v>
                </c:pt>
                <c:pt idx="51">
                  <c:v>45</c:v>
                </c:pt>
                <c:pt idx="52">
                  <c:v>45</c:v>
                </c:pt>
                <c:pt idx="53">
                  <c:v>45</c:v>
                </c:pt>
                <c:pt idx="54">
                  <c:v>47</c:v>
                </c:pt>
                <c:pt idx="55">
                  <c:v>48</c:v>
                </c:pt>
                <c:pt idx="56">
                  <c:v>48</c:v>
                </c:pt>
                <c:pt idx="57">
                  <c:v>50</c:v>
                </c:pt>
                <c:pt idx="58">
                  <c:v>55</c:v>
                </c:pt>
                <c:pt idx="59">
                  <c:v>70</c:v>
                </c:pt>
                <c:pt idx="60">
                  <c:v>71</c:v>
                </c:pt>
                <c:pt idx="61">
                  <c:v>78</c:v>
                </c:pt>
                <c:pt idx="62">
                  <c:v>83</c:v>
                </c:pt>
                <c:pt idx="63">
                  <c:v>83</c:v>
                </c:pt>
                <c:pt idx="64">
                  <c:v>88</c:v>
                </c:pt>
                <c:pt idx="65">
                  <c:v>90</c:v>
                </c:pt>
                <c:pt idx="66">
                  <c:v>97</c:v>
                </c:pt>
                <c:pt idx="67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A1E-41FE-8A93-BA572F304B3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05135448"/>
        <c:axId val="805139384"/>
      </c:barChart>
      <c:catAx>
        <c:axId val="805135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05139384"/>
        <c:crosses val="autoZero"/>
        <c:auto val="1"/>
        <c:lblAlgn val="ctr"/>
        <c:lblOffset val="100"/>
        <c:noMultiLvlLbl val="0"/>
      </c:catAx>
      <c:valAx>
        <c:axId val="8051393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05135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/>
      </a:pPr>
      <a:endParaRPr lang="nb-N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239-4E8B-86A2-827463FBBFC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'NY,deaths'!$A$2:$A$51</c:f>
              <c:strCache>
                <c:ptCount val="50"/>
                <c:pt idx="0">
                  <c:v>Iran</c:v>
                </c:pt>
                <c:pt idx="1">
                  <c:v>Malta</c:v>
                </c:pt>
                <c:pt idx="2">
                  <c:v>Aruba</c:v>
                </c:pt>
                <c:pt idx="3">
                  <c:v>Belize</c:v>
                </c:pt>
                <c:pt idx="4">
                  <c:v>Lebanon</c:v>
                </c:pt>
                <c:pt idx="5">
                  <c:v>South Africa</c:v>
                </c:pt>
                <c:pt idx="6">
                  <c:v>Germany ›</c:v>
                </c:pt>
                <c:pt idx="7">
                  <c:v>Ireland</c:v>
                </c:pt>
                <c:pt idx="8">
                  <c:v>Netherlands</c:v>
                </c:pt>
                <c:pt idx="9">
                  <c:v>Kosovo</c:v>
                </c:pt>
                <c:pt idx="10">
                  <c:v>Latvia</c:v>
                </c:pt>
                <c:pt idx="11">
                  <c:v>Ecuador</c:v>
                </c:pt>
                <c:pt idx="12">
                  <c:v>Georgia</c:v>
                </c:pt>
                <c:pt idx="13">
                  <c:v>Austria</c:v>
                </c:pt>
                <c:pt idx="14">
                  <c:v>Bolivia</c:v>
                </c:pt>
                <c:pt idx="15">
                  <c:v>Switzerland</c:v>
                </c:pt>
                <c:pt idx="16">
                  <c:v>Armenia</c:v>
                </c:pt>
                <c:pt idx="17">
                  <c:v>Romania</c:v>
                </c:pt>
                <c:pt idx="18">
                  <c:v>Luxembourg</c:v>
                </c:pt>
                <c:pt idx="19">
                  <c:v>Chile</c:v>
                </c:pt>
                <c:pt idx="20">
                  <c:v>Argentina</c:v>
                </c:pt>
                <c:pt idx="21">
                  <c:v>Lithuania</c:v>
                </c:pt>
                <c:pt idx="22">
                  <c:v>Colombia</c:v>
                </c:pt>
                <c:pt idx="23">
                  <c:v>Moldova</c:v>
                </c:pt>
                <c:pt idx="24">
                  <c:v>Poland</c:v>
                </c:pt>
                <c:pt idx="25">
                  <c:v>Sweden</c:v>
                </c:pt>
                <c:pt idx="26">
                  <c:v>France ›</c:v>
                </c:pt>
                <c:pt idx="27">
                  <c:v>Brazil ›</c:v>
                </c:pt>
                <c:pt idx="28">
                  <c:v>Croatia</c:v>
                </c:pt>
                <c:pt idx="29">
                  <c:v>Panama</c:v>
                </c:pt>
                <c:pt idx="30">
                  <c:v>Andorra</c:v>
                </c:pt>
                <c:pt idx="31">
                  <c:v>Liechtenstein</c:v>
                </c:pt>
                <c:pt idx="32">
                  <c:v>Spain ›</c:v>
                </c:pt>
                <c:pt idx="33">
                  <c:v>Peru</c:v>
                </c:pt>
                <c:pt idx="34">
                  <c:v>Mexico ›</c:v>
                </c:pt>
                <c:pt idx="35">
                  <c:v>United States ›</c:v>
                </c:pt>
                <c:pt idx="36">
                  <c:v>Portugal</c:v>
                </c:pt>
                <c:pt idx="37">
                  <c:v>Slovakia</c:v>
                </c:pt>
                <c:pt idx="38">
                  <c:v>North Macedonia</c:v>
                </c:pt>
                <c:pt idx="39">
                  <c:v>Bulgaria</c:v>
                </c:pt>
                <c:pt idx="40">
                  <c:v>Italy ›</c:v>
                </c:pt>
                <c:pt idx="41">
                  <c:v>Bosnia and Herzegovina</c:v>
                </c:pt>
                <c:pt idx="42">
                  <c:v>Hungary</c:v>
                </c:pt>
                <c:pt idx="43">
                  <c:v>U.K. ›</c:v>
                </c:pt>
                <c:pt idx="44">
                  <c:v>Slovenia</c:v>
                </c:pt>
                <c:pt idx="45">
                  <c:v>Montenegro</c:v>
                </c:pt>
                <c:pt idx="46">
                  <c:v>Belgium</c:v>
                </c:pt>
                <c:pt idx="47">
                  <c:v>Czech Republic</c:v>
                </c:pt>
                <c:pt idx="48">
                  <c:v>San Marino</c:v>
                </c:pt>
                <c:pt idx="49">
                  <c:v>Gibraltar</c:v>
                </c:pt>
              </c:strCache>
            </c:strRef>
          </c:cat>
          <c:val>
            <c:numRef>
              <c:f>'NY,deaths'!$B$2:$B$51</c:f>
              <c:numCache>
                <c:formatCode>General</c:formatCode>
                <c:ptCount val="50"/>
                <c:pt idx="0">
                  <c:v>75</c:v>
                </c:pt>
                <c:pt idx="1">
                  <c:v>76</c:v>
                </c:pt>
                <c:pt idx="2">
                  <c:v>77</c:v>
                </c:pt>
                <c:pt idx="3">
                  <c:v>82</c:v>
                </c:pt>
                <c:pt idx="4">
                  <c:v>83</c:v>
                </c:pt>
                <c:pt idx="5">
                  <c:v>90</c:v>
                </c:pt>
                <c:pt idx="6">
                  <c:v>90</c:v>
                </c:pt>
                <c:pt idx="7">
                  <c:v>94</c:v>
                </c:pt>
                <c:pt idx="8">
                  <c:v>95</c:v>
                </c:pt>
                <c:pt idx="9">
                  <c:v>95</c:v>
                </c:pt>
                <c:pt idx="10">
                  <c:v>95</c:v>
                </c:pt>
                <c:pt idx="11">
                  <c:v>96</c:v>
                </c:pt>
                <c:pt idx="12">
                  <c:v>99</c:v>
                </c:pt>
                <c:pt idx="13">
                  <c:v>102</c:v>
                </c:pt>
                <c:pt idx="14">
                  <c:v>106</c:v>
                </c:pt>
                <c:pt idx="15">
                  <c:v>112</c:v>
                </c:pt>
                <c:pt idx="16">
                  <c:v>113</c:v>
                </c:pt>
                <c:pt idx="17">
                  <c:v>114</c:v>
                </c:pt>
                <c:pt idx="18">
                  <c:v>117</c:v>
                </c:pt>
                <c:pt idx="19">
                  <c:v>118</c:v>
                </c:pt>
                <c:pt idx="20">
                  <c:v>123</c:v>
                </c:pt>
                <c:pt idx="21">
                  <c:v>124</c:v>
                </c:pt>
                <c:pt idx="22">
                  <c:v>125</c:v>
                </c:pt>
                <c:pt idx="23">
                  <c:v>128</c:v>
                </c:pt>
                <c:pt idx="24">
                  <c:v>129</c:v>
                </c:pt>
                <c:pt idx="25">
                  <c:v>130</c:v>
                </c:pt>
                <c:pt idx="26">
                  <c:v>137</c:v>
                </c:pt>
                <c:pt idx="27">
                  <c:v>140</c:v>
                </c:pt>
                <c:pt idx="28">
                  <c:v>141</c:v>
                </c:pt>
                <c:pt idx="29">
                  <c:v>144</c:v>
                </c:pt>
                <c:pt idx="30">
                  <c:v>147</c:v>
                </c:pt>
                <c:pt idx="31">
                  <c:v>148</c:v>
                </c:pt>
                <c:pt idx="32">
                  <c:v>156</c:v>
                </c:pt>
                <c:pt idx="33">
                  <c:v>156</c:v>
                </c:pt>
                <c:pt idx="34">
                  <c:v>157</c:v>
                </c:pt>
                <c:pt idx="35">
                  <c:v>163</c:v>
                </c:pt>
                <c:pt idx="36">
                  <c:v>163</c:v>
                </c:pt>
                <c:pt idx="37">
                  <c:v>165</c:v>
                </c:pt>
                <c:pt idx="38">
                  <c:v>166</c:v>
                </c:pt>
                <c:pt idx="39">
                  <c:v>170</c:v>
                </c:pt>
                <c:pt idx="40">
                  <c:v>173</c:v>
                </c:pt>
                <c:pt idx="41">
                  <c:v>174</c:v>
                </c:pt>
                <c:pt idx="42">
                  <c:v>185</c:v>
                </c:pt>
                <c:pt idx="43">
                  <c:v>190</c:v>
                </c:pt>
                <c:pt idx="44">
                  <c:v>192</c:v>
                </c:pt>
                <c:pt idx="45">
                  <c:v>192</c:v>
                </c:pt>
                <c:pt idx="46">
                  <c:v>198</c:v>
                </c:pt>
                <c:pt idx="47">
                  <c:v>231</c:v>
                </c:pt>
                <c:pt idx="48">
                  <c:v>234</c:v>
                </c:pt>
                <c:pt idx="49">
                  <c:v>279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39-4E8B-86A2-827463FBBFC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05140696"/>
        <c:axId val="805135120"/>
      </c:barChart>
      <c:catAx>
        <c:axId val="805140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05135120"/>
        <c:crosses val="autoZero"/>
        <c:auto val="1"/>
        <c:lblAlgn val="ctr"/>
        <c:lblOffset val="100"/>
        <c:noMultiLvlLbl val="0"/>
      </c:catAx>
      <c:valAx>
        <c:axId val="80513512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05140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665-42EE-8643-73E4B011C24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665-42EE-8643-73E4B011C2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'NY,deaths'!$F$3:$F$56</c:f>
              <c:strCache>
                <c:ptCount val="54"/>
                <c:pt idx="0">
                  <c:v>Georgia</c:v>
                </c:pt>
                <c:pt idx="1">
                  <c:v>Jamaica</c:v>
                </c:pt>
                <c:pt idx="2">
                  <c:v>Andorra</c:v>
                </c:pt>
                <c:pt idx="3">
                  <c:v>South Africa</c:v>
                </c:pt>
                <c:pt idx="4">
                  <c:v>Spain ›</c:v>
                </c:pt>
                <c:pt idx="5">
                  <c:v>Namibia</c:v>
                </c:pt>
                <c:pt idx="6">
                  <c:v>Tunisia</c:v>
                </c:pt>
                <c:pt idx="7">
                  <c:v>Botswana</c:v>
                </c:pt>
                <c:pt idx="8">
                  <c:v>Germany ›</c:v>
                </c:pt>
                <c:pt idx="9">
                  <c:v>Colombia</c:v>
                </c:pt>
                <c:pt idx="10">
                  <c:v>Slovenia</c:v>
                </c:pt>
                <c:pt idx="11">
                  <c:v>Argentina</c:v>
                </c:pt>
                <c:pt idx="12">
                  <c:v>Croatia</c:v>
                </c:pt>
                <c:pt idx="13">
                  <c:v>Russia</c:v>
                </c:pt>
                <c:pt idx="14">
                  <c:v>Belgium</c:v>
                </c:pt>
                <c:pt idx="15">
                  <c:v>Libya</c:v>
                </c:pt>
                <c:pt idx="16">
                  <c:v>Uruguay</c:v>
                </c:pt>
                <c:pt idx="17">
                  <c:v>Austria</c:v>
                </c:pt>
                <c:pt idx="18">
                  <c:v>United States ›</c:v>
                </c:pt>
                <c:pt idx="19">
                  <c:v>France ›</c:v>
                </c:pt>
                <c:pt idx="20">
                  <c:v>Lithuania</c:v>
                </c:pt>
                <c:pt idx="21">
                  <c:v>Armenia</c:v>
                </c:pt>
                <c:pt idx="22">
                  <c:v>Mexico ›</c:v>
                </c:pt>
                <c:pt idx="23">
                  <c:v>Liechtenstein</c:v>
                </c:pt>
                <c:pt idx="24">
                  <c:v>Serbia</c:v>
                </c:pt>
                <c:pt idx="25">
                  <c:v>Chile</c:v>
                </c:pt>
                <c:pt idx="26">
                  <c:v>Latvia</c:v>
                </c:pt>
                <c:pt idx="27">
                  <c:v>West Bank &amp; Gaza</c:v>
                </c:pt>
                <c:pt idx="28">
                  <c:v>Paraguay</c:v>
                </c:pt>
                <c:pt idx="29">
                  <c:v>Kosovo</c:v>
                </c:pt>
                <c:pt idx="30">
                  <c:v>Albania</c:v>
                </c:pt>
                <c:pt idx="31">
                  <c:v>Greece</c:v>
                </c:pt>
                <c:pt idx="32">
                  <c:v>Romania</c:v>
                </c:pt>
                <c:pt idx="33">
                  <c:v>Ukraine</c:v>
                </c:pt>
                <c:pt idx="34">
                  <c:v>Aruba</c:v>
                </c:pt>
                <c:pt idx="35">
                  <c:v>Peru</c:v>
                </c:pt>
                <c:pt idx="36">
                  <c:v>Saint Lucia</c:v>
                </c:pt>
                <c:pt idx="37">
                  <c:v>Malta</c:v>
                </c:pt>
                <c:pt idx="38">
                  <c:v>Italy ›</c:v>
                </c:pt>
                <c:pt idx="39">
                  <c:v>Jordan</c:v>
                </c:pt>
                <c:pt idx="40">
                  <c:v>Estonia</c:v>
                </c:pt>
                <c:pt idx="41">
                  <c:v>Luxembourg</c:v>
                </c:pt>
                <c:pt idx="42">
                  <c:v>Lebanon</c:v>
                </c:pt>
                <c:pt idx="43">
                  <c:v>Poland</c:v>
                </c:pt>
                <c:pt idx="44">
                  <c:v>San Marino</c:v>
                </c:pt>
                <c:pt idx="45">
                  <c:v>Moldova</c:v>
                </c:pt>
                <c:pt idx="46">
                  <c:v>North Macedonia</c:v>
                </c:pt>
                <c:pt idx="47">
                  <c:v>Brazil ›</c:v>
                </c:pt>
                <c:pt idx="48">
                  <c:v>Slovakia</c:v>
                </c:pt>
                <c:pt idx="49">
                  <c:v>Bosnia and Herzegovina</c:v>
                </c:pt>
                <c:pt idx="50">
                  <c:v>Bulgaria</c:v>
                </c:pt>
                <c:pt idx="51">
                  <c:v>Montenegro</c:v>
                </c:pt>
                <c:pt idx="52">
                  <c:v>Hungary</c:v>
                </c:pt>
                <c:pt idx="53">
                  <c:v>Czech Republic</c:v>
                </c:pt>
              </c:strCache>
            </c:strRef>
          </c:cat>
          <c:val>
            <c:numRef>
              <c:f>'NY,deaths'!$G$3:$G$56</c:f>
              <c:numCache>
                <c:formatCode>General</c:formatCode>
                <c:ptCount val="54"/>
                <c:pt idx="0">
                  <c:v>0.18</c:v>
                </c:pt>
                <c:pt idx="1">
                  <c:v>0.19</c:v>
                </c:pt>
                <c:pt idx="2">
                  <c:v>0.19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  <c:pt idx="6">
                  <c:v>0.21</c:v>
                </c:pt>
                <c:pt idx="7">
                  <c:v>0.22</c:v>
                </c:pt>
                <c:pt idx="8">
                  <c:v>0.23</c:v>
                </c:pt>
                <c:pt idx="9">
                  <c:v>0.25</c:v>
                </c:pt>
                <c:pt idx="10">
                  <c:v>0.26</c:v>
                </c:pt>
                <c:pt idx="11">
                  <c:v>0.28000000000000003</c:v>
                </c:pt>
                <c:pt idx="12">
                  <c:v>0.28999999999999998</c:v>
                </c:pt>
                <c:pt idx="13">
                  <c:v>0.28999999999999998</c:v>
                </c:pt>
                <c:pt idx="14">
                  <c:v>0.28999999999999998</c:v>
                </c:pt>
                <c:pt idx="15">
                  <c:v>0.3</c:v>
                </c:pt>
                <c:pt idx="16">
                  <c:v>0.32</c:v>
                </c:pt>
                <c:pt idx="17">
                  <c:v>0.32</c:v>
                </c:pt>
                <c:pt idx="18">
                  <c:v>0.33</c:v>
                </c:pt>
                <c:pt idx="19">
                  <c:v>0.34</c:v>
                </c:pt>
                <c:pt idx="20">
                  <c:v>0.38</c:v>
                </c:pt>
                <c:pt idx="21">
                  <c:v>0.38</c:v>
                </c:pt>
                <c:pt idx="22">
                  <c:v>0.38</c:v>
                </c:pt>
                <c:pt idx="23">
                  <c:v>0.38</c:v>
                </c:pt>
                <c:pt idx="24">
                  <c:v>0.42</c:v>
                </c:pt>
                <c:pt idx="25">
                  <c:v>0.46</c:v>
                </c:pt>
                <c:pt idx="26">
                  <c:v>0.47</c:v>
                </c:pt>
                <c:pt idx="27">
                  <c:v>0.47</c:v>
                </c:pt>
                <c:pt idx="28">
                  <c:v>0.49</c:v>
                </c:pt>
                <c:pt idx="29">
                  <c:v>0.5</c:v>
                </c:pt>
                <c:pt idx="30">
                  <c:v>0.51</c:v>
                </c:pt>
                <c:pt idx="31">
                  <c:v>0.51</c:v>
                </c:pt>
                <c:pt idx="32">
                  <c:v>0.51</c:v>
                </c:pt>
                <c:pt idx="33">
                  <c:v>0.53</c:v>
                </c:pt>
                <c:pt idx="34">
                  <c:v>0.54</c:v>
                </c:pt>
                <c:pt idx="35">
                  <c:v>0.55000000000000004</c:v>
                </c:pt>
                <c:pt idx="36">
                  <c:v>0.55000000000000004</c:v>
                </c:pt>
                <c:pt idx="37">
                  <c:v>0.56000000000000005</c:v>
                </c:pt>
                <c:pt idx="38">
                  <c:v>0.65</c:v>
                </c:pt>
                <c:pt idx="39">
                  <c:v>0.72</c:v>
                </c:pt>
                <c:pt idx="40">
                  <c:v>0.76</c:v>
                </c:pt>
                <c:pt idx="41">
                  <c:v>0.78</c:v>
                </c:pt>
                <c:pt idx="42">
                  <c:v>0.79</c:v>
                </c:pt>
                <c:pt idx="43">
                  <c:v>0.79</c:v>
                </c:pt>
                <c:pt idx="44">
                  <c:v>0.85</c:v>
                </c:pt>
                <c:pt idx="45">
                  <c:v>0.95</c:v>
                </c:pt>
                <c:pt idx="46">
                  <c:v>1.02</c:v>
                </c:pt>
                <c:pt idx="47">
                  <c:v>1.07</c:v>
                </c:pt>
                <c:pt idx="48">
                  <c:v>1.41</c:v>
                </c:pt>
                <c:pt idx="49">
                  <c:v>1.41</c:v>
                </c:pt>
                <c:pt idx="50">
                  <c:v>1.49</c:v>
                </c:pt>
                <c:pt idx="51">
                  <c:v>1.65</c:v>
                </c:pt>
                <c:pt idx="52">
                  <c:v>1.87</c:v>
                </c:pt>
                <c:pt idx="53">
                  <c:v>1.95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65-42EE-8643-73E4B011C24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088032448"/>
        <c:axId val="1088038024"/>
      </c:barChart>
      <c:catAx>
        <c:axId val="1088032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088038024"/>
        <c:crosses val="autoZero"/>
        <c:auto val="1"/>
        <c:lblAlgn val="ctr"/>
        <c:lblOffset val="100"/>
        <c:noMultiLvlLbl val="0"/>
      </c:catAx>
      <c:valAx>
        <c:axId val="10880380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88032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90D5-E3AF-41C0-9CC1-7589B260CB7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5562013-b821-4daa-a63d-48c72bf3491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CC30AD-F338-423C-B960-A6F778456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D10C3-3B51-4072-8B34-6A6C8248BB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B5F516-B91D-422F-B059-60CA9884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11</Pages>
  <Words>246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51</cp:revision>
  <dcterms:created xsi:type="dcterms:W3CDTF">2020-12-19T08:21:00Z</dcterms:created>
  <dcterms:modified xsi:type="dcterms:W3CDTF">2021-03-21T18:11:00Z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