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B2" w:rsidRDefault="00B038B2" w:rsidP="00B038B2">
      <w:pPr>
        <w:rPr>
          <w:sz w:val="24"/>
          <w:szCs w:val="24"/>
        </w:rPr>
      </w:pPr>
      <w:r w:rsidRPr="00B038B2">
        <w:rPr>
          <w:sz w:val="24"/>
          <w:szCs w:val="24"/>
        </w:rPr>
        <w:t xml:space="preserve">List of Q&amp;A: Moving to NEC project. </w:t>
      </w:r>
    </w:p>
    <w:p w:rsidR="000204F7" w:rsidRPr="00B038B2" w:rsidRDefault="00B038B2" w:rsidP="00B038B2">
      <w:pPr>
        <w:rPr>
          <w:color w:val="1F497D"/>
          <w:sz w:val="24"/>
          <w:szCs w:val="24"/>
        </w:rPr>
      </w:pPr>
      <w:r w:rsidRPr="00B038B2">
        <w:rPr>
          <w:sz w:val="24"/>
          <w:szCs w:val="24"/>
        </w:rPr>
        <w:t>Second Batch</w:t>
      </w:r>
      <w:r w:rsidR="00246BBB" w:rsidRPr="00B038B2">
        <w:rPr>
          <w:rFonts w:asciiTheme="minorHAnsi" w:hAnsiTheme="minorHAnsi" w:cstheme="minorHAnsi"/>
          <w:sz w:val="24"/>
          <w:szCs w:val="24"/>
        </w:rPr>
        <w:br/>
      </w: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  <w:lang w:eastAsia="ja-JP"/>
        </w:rPr>
      </w:pPr>
      <w:r w:rsidRPr="00B038B2">
        <w:rPr>
          <w:sz w:val="24"/>
          <w:szCs w:val="24"/>
        </w:rPr>
        <w:t xml:space="preserve">We would like to have the equipment list, can we have it?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A: Please refer to amendment A006. Government </w:t>
      </w:r>
      <w:proofErr w:type="gramStart"/>
      <w:r w:rsidRPr="00B038B2">
        <w:rPr>
          <w:sz w:val="24"/>
          <w:szCs w:val="24"/>
        </w:rPr>
        <w:t>issue</w:t>
      </w:r>
      <w:proofErr w:type="gramEnd"/>
      <w:r w:rsidRPr="00B038B2">
        <w:rPr>
          <w:sz w:val="24"/>
          <w:szCs w:val="24"/>
        </w:rPr>
        <w:t xml:space="preserve"> the inventory list, included equipment list and art work, which require special packing.</w:t>
      </w:r>
    </w:p>
    <w:p w:rsidR="00ED104B" w:rsidRDefault="00ED104B" w:rsidP="000204F7">
      <w:pPr>
        <w:pStyle w:val="ListParagraph"/>
        <w:rPr>
          <w:sz w:val="24"/>
          <w:szCs w:val="24"/>
        </w:rPr>
      </w:pPr>
    </w:p>
    <w:p w:rsidR="00ED104B" w:rsidRPr="00E1496C" w:rsidRDefault="00ED104B" w:rsidP="00ED104B">
      <w:pPr>
        <w:pStyle w:val="ListParagraph"/>
        <w:ind w:left="1080"/>
        <w:rPr>
          <w:rFonts w:eastAsia="MS PGothic" w:cs="Calibri"/>
          <w:color w:val="1F497D"/>
          <w:lang w:eastAsia="ja-JP"/>
        </w:rPr>
      </w:pP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2940"/>
        <w:gridCol w:w="960"/>
        <w:gridCol w:w="960"/>
        <w:gridCol w:w="960"/>
        <w:gridCol w:w="960"/>
        <w:gridCol w:w="960"/>
        <w:gridCol w:w="960"/>
        <w:gridCol w:w="960"/>
      </w:tblGrid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000000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FFFFFF"/>
              </w:rPr>
            </w:pPr>
            <w:r w:rsidRPr="00C9513D">
              <w:rPr>
                <w:b/>
                <w:bCs/>
                <w:color w:val="FFFFFF"/>
              </w:rPr>
              <w:t>Contingency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FFFFFF"/>
              </w:rPr>
            </w:pPr>
            <w:r w:rsidRPr="00C9513D">
              <w:rPr>
                <w:b/>
                <w:bCs/>
                <w:color w:val="FFFFFF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FFFFF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color w:val="000000"/>
              </w:rPr>
            </w:pPr>
            <w:r w:rsidRPr="00C9513D">
              <w:rPr>
                <w:color w:val="000000"/>
              </w:rPr>
              <w:t>Length (m)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color w:val="000000"/>
              </w:rPr>
            </w:pPr>
            <w:r w:rsidRPr="00C9513D">
              <w:rPr>
                <w:color w:val="000000"/>
              </w:rPr>
              <w:t>width (m)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color w:val="000000"/>
              </w:rPr>
            </w:pPr>
            <w:r w:rsidRPr="00C9513D">
              <w:rPr>
                <w:color w:val="000000"/>
              </w:rPr>
              <w:t>Height (m)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color w:val="000000"/>
              </w:rPr>
            </w:pPr>
            <w:r w:rsidRPr="00C9513D">
              <w:rPr>
                <w:color w:val="000000"/>
              </w:rPr>
              <w:t>Volume (</w:t>
            </w:r>
            <w:proofErr w:type="spellStart"/>
            <w:r w:rsidRPr="00C9513D">
              <w:rPr>
                <w:color w:val="000000"/>
              </w:rPr>
              <w:t>cbm</w:t>
            </w:r>
            <w:proofErr w:type="spellEnd"/>
            <w:r w:rsidRPr="00C9513D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color w:val="000000"/>
              </w:rPr>
            </w:pPr>
            <w:r w:rsidRPr="00C9513D">
              <w:rPr>
                <w:color w:val="000000"/>
              </w:rPr>
              <w:t>Total (</w:t>
            </w:r>
            <w:proofErr w:type="spellStart"/>
            <w:r w:rsidRPr="00C9513D">
              <w:rPr>
                <w:color w:val="000000"/>
              </w:rPr>
              <w:t>cbm</w:t>
            </w:r>
            <w:proofErr w:type="spellEnd"/>
            <w:r w:rsidRPr="00C9513D">
              <w:rPr>
                <w:color w:val="000000"/>
              </w:rPr>
              <w:t>)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Monitors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39.9752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CPU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0.5762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4.3316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 xml:space="preserve">Printers - Tall Multifunction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28.7986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Printers - Desktop MFP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5.8326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Other Items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4.6661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Scanners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0.0962</w:t>
            </w:r>
          </w:p>
        </w:tc>
      </w:tr>
      <w:tr w:rsidR="00ED104B" w:rsidRPr="00C9513D" w:rsidTr="00C71DBE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SAFE, 2-DRAWER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7.4857</w:t>
            </w:r>
          </w:p>
        </w:tc>
      </w:tr>
      <w:tr w:rsidR="00ED104B" w:rsidRPr="00C9513D" w:rsidTr="00C71DBE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SAFE, 5-DRAWER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11.0809</w:t>
            </w:r>
          </w:p>
        </w:tc>
      </w:tr>
      <w:tr w:rsidR="00ED104B" w:rsidRPr="00C9513D" w:rsidTr="00C71DBE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SAFE, 4-DRAWER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3.756</w:t>
            </w:r>
          </w:p>
        </w:tc>
      </w:tr>
      <w:tr w:rsidR="00ED104B" w:rsidRPr="00C9513D" w:rsidTr="00C71DBE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SAFE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TVs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1.158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Transformers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0.0738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Shredders - 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8.5262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Fax Machines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0.6831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Typewriters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0.3415</w:t>
            </w:r>
          </w:p>
        </w:tc>
      </w:tr>
      <w:tr w:rsidR="00ED104B" w:rsidRPr="00C9513D" w:rsidTr="00C71DB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Additional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60</w:t>
            </w:r>
          </w:p>
        </w:tc>
      </w:tr>
      <w:tr w:rsidR="00ED104B" w:rsidRPr="00C9513D" w:rsidTr="00C71DBE">
        <w:trPr>
          <w:trHeight w:val="288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04B" w:rsidRPr="00C9513D" w:rsidRDefault="00ED104B" w:rsidP="00C71DB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rPr>
                <w:b/>
                <w:bCs/>
                <w:color w:val="000000"/>
              </w:rPr>
            </w:pPr>
            <w:r w:rsidRPr="00C9513D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04B" w:rsidRPr="00C9513D" w:rsidRDefault="00ED104B" w:rsidP="00C71DBE">
            <w:pPr>
              <w:jc w:val="right"/>
              <w:rPr>
                <w:color w:val="000000"/>
              </w:rPr>
            </w:pPr>
            <w:r w:rsidRPr="00C9513D">
              <w:rPr>
                <w:color w:val="000000"/>
              </w:rPr>
              <w:t>230</w:t>
            </w:r>
          </w:p>
        </w:tc>
      </w:tr>
    </w:tbl>
    <w:p w:rsidR="00ED104B" w:rsidRPr="00E1496C" w:rsidRDefault="00ED104B" w:rsidP="00ED104B">
      <w:pPr>
        <w:tabs>
          <w:tab w:val="left" w:pos="1008"/>
          <w:tab w:val="left" w:pos="2160"/>
          <w:tab w:val="left" w:pos="3312"/>
          <w:tab w:val="left" w:pos="4464"/>
          <w:tab w:val="left" w:pos="5616"/>
        </w:tabs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bookmarkStart w:id="0" w:name="_GoBack"/>
      <w:bookmarkEnd w:id="0"/>
      <w:r w:rsidRPr="00B038B2">
        <w:rPr>
          <w:sz w:val="24"/>
          <w:szCs w:val="24"/>
        </w:rPr>
        <w:t>Anta Tours implant office, is that included in moving contract?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color w:val="538135"/>
          <w:sz w:val="24"/>
          <w:szCs w:val="24"/>
        </w:rPr>
      </w:pPr>
      <w:r w:rsidRPr="00B038B2">
        <w:rPr>
          <w:sz w:val="24"/>
          <w:szCs w:val="24"/>
        </w:rPr>
        <w:t xml:space="preserve">A: Anta Tours office is included in the contract.  The vendor will move Anta Tour’s OPENNET equipment and travel files. </w:t>
      </w:r>
      <w:proofErr w:type="spellStart"/>
      <w:r w:rsidRPr="00B038B2">
        <w:rPr>
          <w:sz w:val="24"/>
          <w:szCs w:val="24"/>
        </w:rPr>
        <w:t>Antatour</w:t>
      </w:r>
      <w:proofErr w:type="spellEnd"/>
      <w:r w:rsidRPr="00B038B2">
        <w:rPr>
          <w:sz w:val="24"/>
          <w:szCs w:val="24"/>
        </w:rPr>
        <w:t xml:space="preserve"> Main office will be responsible to move their 8 x “Galileo” CPUs.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>Insurance premium for the items to be moved, must we included that to our pricing?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B038B2" w:rsidRPr="00B038B2" w:rsidRDefault="00B038B2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A: Please see section 1, paragraph 7.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>The vendor should include a separate line item for liability insurance. This is insurance which covers if the vendor is responsible and or negligent for loss/damage of USG property.</w:t>
      </w:r>
    </w:p>
    <w:p w:rsidR="000204F7" w:rsidRPr="00B038B2" w:rsidRDefault="000204F7" w:rsidP="000204F7">
      <w:pPr>
        <w:pStyle w:val="ListParagraph"/>
        <w:rPr>
          <w:color w:val="0070C0"/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 xml:space="preserve">How can we check and ensure that all of the things we move is in good condition? Especially, after the unpacking then the Government </w:t>
      </w:r>
      <w:proofErr w:type="gramStart"/>
      <w:r w:rsidRPr="00B038B2">
        <w:rPr>
          <w:sz w:val="24"/>
          <w:szCs w:val="24"/>
        </w:rPr>
        <w:t>find</w:t>
      </w:r>
      <w:proofErr w:type="gramEnd"/>
      <w:r w:rsidRPr="00B038B2">
        <w:rPr>
          <w:sz w:val="24"/>
          <w:szCs w:val="24"/>
        </w:rPr>
        <w:t xml:space="preserve"> the equipment has crack or not in good condition?  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>A: The vendor will have their project manager onsite at the Annex starting September 5</w:t>
      </w:r>
      <w:r w:rsidRPr="00B038B2">
        <w:rPr>
          <w:sz w:val="24"/>
          <w:szCs w:val="24"/>
          <w:vertAlign w:val="superscript"/>
        </w:rPr>
        <w:t>th</w:t>
      </w:r>
      <w:r w:rsidRPr="00B038B2">
        <w:rPr>
          <w:sz w:val="24"/>
          <w:szCs w:val="24"/>
        </w:rPr>
        <w:t xml:space="preserve">. The PM will come with a method to capture digital images and show an employee, before boxing an item, the damage. The image tag should be written on a label and sent with the item to ensure that the mover is not held responsible for any damages. </w:t>
      </w:r>
    </w:p>
    <w:p w:rsidR="000204F7" w:rsidRPr="00B038B2" w:rsidRDefault="000204F7" w:rsidP="000204F7">
      <w:pPr>
        <w:pStyle w:val="ListParagraph"/>
        <w:rPr>
          <w:color w:val="538135"/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 xml:space="preserve">Please advise the final inventory list.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>A: Please refer to our amendment A0006 for inventory list.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 xml:space="preserve">Packing: will it be done by U.S. Embassy and the vendor only will do the moving?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>A: All the items we provide in the inventory sheet most be packed and moved by the mover</w:t>
      </w:r>
    </w:p>
    <w:p w:rsidR="000204F7" w:rsidRPr="00B038B2" w:rsidRDefault="000204F7" w:rsidP="000204F7">
      <w:pPr>
        <w:pStyle w:val="ListParagraph"/>
        <w:rPr>
          <w:color w:val="538135"/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>Is there any item to be packed by vendor?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>A: All the items we provide in the inventory sheet most be packed and moved by the mover</w:t>
      </w:r>
    </w:p>
    <w:p w:rsidR="000204F7" w:rsidRPr="00B038B2" w:rsidRDefault="000204F7" w:rsidP="000204F7">
      <w:pPr>
        <w:pStyle w:val="ListParagraph"/>
        <w:rPr>
          <w:color w:val="538135"/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 xml:space="preserve">In the amendment, the price is for 1 lot, while usually the price we provide for moving is in </w:t>
      </w:r>
      <w:proofErr w:type="spellStart"/>
      <w:r w:rsidRPr="00B038B2">
        <w:rPr>
          <w:sz w:val="24"/>
          <w:szCs w:val="24"/>
        </w:rPr>
        <w:t>cbm</w:t>
      </w:r>
      <w:proofErr w:type="spellEnd"/>
      <w:r w:rsidRPr="00B038B2">
        <w:rPr>
          <w:sz w:val="24"/>
          <w:szCs w:val="24"/>
        </w:rPr>
        <w:t xml:space="preserve">, the total of price will be based on actual </w:t>
      </w:r>
      <w:proofErr w:type="spellStart"/>
      <w:r w:rsidRPr="00B038B2">
        <w:rPr>
          <w:sz w:val="24"/>
          <w:szCs w:val="24"/>
        </w:rPr>
        <w:t>cbm</w:t>
      </w:r>
      <w:proofErr w:type="spellEnd"/>
      <w:r w:rsidRPr="00B038B2">
        <w:rPr>
          <w:sz w:val="24"/>
          <w:szCs w:val="24"/>
        </w:rPr>
        <w:t xml:space="preserve"> by the time of moving, since some items to be brought are still in tentative status. Please </w:t>
      </w:r>
      <w:proofErr w:type="gramStart"/>
      <w:r w:rsidRPr="00B038B2">
        <w:rPr>
          <w:sz w:val="24"/>
          <w:szCs w:val="24"/>
        </w:rPr>
        <w:t>advise</w:t>
      </w:r>
      <w:proofErr w:type="gramEnd"/>
      <w:r w:rsidRPr="00B038B2">
        <w:rPr>
          <w:sz w:val="24"/>
          <w:szCs w:val="24"/>
        </w:rPr>
        <w:t>.</w:t>
      </w:r>
    </w:p>
    <w:p w:rsidR="000204F7" w:rsidRPr="00B038B2" w:rsidRDefault="000204F7" w:rsidP="000204F7">
      <w:pPr>
        <w:ind w:left="720"/>
        <w:rPr>
          <w:sz w:val="24"/>
          <w:szCs w:val="24"/>
        </w:rPr>
      </w:pPr>
    </w:p>
    <w:p w:rsidR="000204F7" w:rsidRPr="00B038B2" w:rsidRDefault="000204F7" w:rsidP="000204F7">
      <w:pPr>
        <w:spacing w:after="160" w:line="252" w:lineRule="auto"/>
        <w:ind w:left="720"/>
        <w:rPr>
          <w:sz w:val="24"/>
          <w:szCs w:val="24"/>
        </w:rPr>
      </w:pPr>
      <w:r w:rsidRPr="00B038B2">
        <w:rPr>
          <w:sz w:val="24"/>
          <w:szCs w:val="24"/>
        </w:rPr>
        <w:t xml:space="preserve">A: The USG will provide the vendor an inventory of items to be moved with the estimated total </w:t>
      </w:r>
      <w:proofErr w:type="spellStart"/>
      <w:r w:rsidRPr="00B038B2">
        <w:rPr>
          <w:sz w:val="24"/>
          <w:szCs w:val="24"/>
        </w:rPr>
        <w:t>cbm</w:t>
      </w:r>
      <w:proofErr w:type="spellEnd"/>
      <w:r w:rsidRPr="00B038B2">
        <w:rPr>
          <w:sz w:val="24"/>
          <w:szCs w:val="24"/>
        </w:rPr>
        <w:t xml:space="preserve"> for the vendor to offer a firm-fixed price. </w:t>
      </w:r>
    </w:p>
    <w:p w:rsidR="000204F7" w:rsidRPr="00B038B2" w:rsidRDefault="000204F7" w:rsidP="000204F7">
      <w:pPr>
        <w:spacing w:after="160" w:line="252" w:lineRule="auto"/>
        <w:ind w:left="720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spacing w:after="160" w:line="252" w:lineRule="auto"/>
        <w:rPr>
          <w:sz w:val="24"/>
          <w:szCs w:val="24"/>
        </w:rPr>
      </w:pPr>
      <w:r w:rsidRPr="00B038B2">
        <w:rPr>
          <w:sz w:val="24"/>
          <w:szCs w:val="24"/>
        </w:rPr>
        <w:t xml:space="preserve">How about the Insurance of the Goods? What is the estimated Declared Value of the </w:t>
      </w:r>
    </w:p>
    <w:p w:rsidR="000204F7" w:rsidRPr="00B038B2" w:rsidRDefault="000204F7" w:rsidP="000204F7">
      <w:pPr>
        <w:pStyle w:val="ListParagraph"/>
        <w:spacing w:after="160" w:line="252" w:lineRule="auto"/>
        <w:rPr>
          <w:sz w:val="24"/>
          <w:szCs w:val="24"/>
        </w:rPr>
      </w:pPr>
      <w:r w:rsidRPr="00B038B2">
        <w:rPr>
          <w:sz w:val="24"/>
          <w:szCs w:val="24"/>
        </w:rPr>
        <w:t xml:space="preserve">Moving Items? Will the American Embassy covered the insurance directly? This is due to high value of the goods.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rPr>
          <w:color w:val="538135"/>
          <w:sz w:val="24"/>
          <w:szCs w:val="24"/>
        </w:rPr>
      </w:pPr>
      <w:r w:rsidRPr="00B038B2">
        <w:rPr>
          <w:sz w:val="24"/>
          <w:szCs w:val="24"/>
        </w:rPr>
        <w:t>A: The vendor will be able to establish an estimate based on the inventory listed provided.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038B2">
        <w:rPr>
          <w:sz w:val="24"/>
          <w:szCs w:val="24"/>
        </w:rPr>
        <w:t xml:space="preserve">We would like you to consider to use a particular measurement method for quotation. It will be fair for the competition. Probably, by mentioning minimum volume to move each site to NEC, therefore each </w:t>
      </w:r>
      <w:proofErr w:type="spellStart"/>
      <w:r w:rsidRPr="00B038B2">
        <w:rPr>
          <w:sz w:val="24"/>
          <w:szCs w:val="24"/>
        </w:rPr>
        <w:t>offeror</w:t>
      </w:r>
      <w:proofErr w:type="spellEnd"/>
      <w:r w:rsidRPr="00B038B2">
        <w:rPr>
          <w:sz w:val="24"/>
          <w:szCs w:val="24"/>
        </w:rPr>
        <w:t xml:space="preserve"> has the same parameter on quoting. This is because some site still have additional items which will be added after the award. 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For example: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WTC:    at minimum 80 </w:t>
      </w:r>
      <w:proofErr w:type="spellStart"/>
      <w:r w:rsidRPr="00B038B2">
        <w:rPr>
          <w:sz w:val="24"/>
          <w:szCs w:val="24"/>
        </w:rPr>
        <w:t>cbm</w:t>
      </w:r>
      <w:proofErr w:type="spellEnd"/>
      <w:r w:rsidRPr="00B038B2">
        <w:rPr>
          <w:sz w:val="24"/>
          <w:szCs w:val="24"/>
        </w:rPr>
        <w:t xml:space="preserve"> X             </w:t>
      </w:r>
      <w:proofErr w:type="spellStart"/>
      <w:r w:rsidRPr="00B038B2">
        <w:rPr>
          <w:sz w:val="24"/>
          <w:szCs w:val="24"/>
        </w:rPr>
        <w:t>Rp</w:t>
      </w:r>
      <w:proofErr w:type="spellEnd"/>
      <w:r w:rsidRPr="00B038B2">
        <w:rPr>
          <w:sz w:val="24"/>
          <w:szCs w:val="24"/>
        </w:rPr>
        <w:t xml:space="preserve">. _______ = </w:t>
      </w:r>
      <w:proofErr w:type="spellStart"/>
      <w:r w:rsidRPr="00B038B2">
        <w:rPr>
          <w:sz w:val="24"/>
          <w:szCs w:val="24"/>
        </w:rPr>
        <w:t>Rp</w:t>
      </w:r>
      <w:proofErr w:type="spellEnd"/>
      <w:r w:rsidRPr="00B038B2">
        <w:rPr>
          <w:sz w:val="24"/>
          <w:szCs w:val="24"/>
        </w:rPr>
        <w:t>. ___________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LOC:     at minimum 100cbm X           </w:t>
      </w:r>
      <w:proofErr w:type="spellStart"/>
      <w:r w:rsidRPr="00B038B2">
        <w:rPr>
          <w:sz w:val="24"/>
          <w:szCs w:val="24"/>
        </w:rPr>
        <w:t>Rp</w:t>
      </w:r>
      <w:proofErr w:type="spellEnd"/>
      <w:r w:rsidRPr="00B038B2">
        <w:rPr>
          <w:sz w:val="24"/>
          <w:szCs w:val="24"/>
        </w:rPr>
        <w:t xml:space="preserve">. _______ = </w:t>
      </w:r>
      <w:proofErr w:type="spellStart"/>
      <w:r w:rsidRPr="00B038B2">
        <w:rPr>
          <w:sz w:val="24"/>
          <w:szCs w:val="24"/>
        </w:rPr>
        <w:t>Rp</w:t>
      </w:r>
      <w:proofErr w:type="spellEnd"/>
      <w:r w:rsidRPr="00B038B2">
        <w:rPr>
          <w:sz w:val="24"/>
          <w:szCs w:val="24"/>
        </w:rPr>
        <w:t>. ___________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If then each site has additional item, the additional will be based on </w:t>
      </w:r>
      <w:proofErr w:type="spellStart"/>
      <w:r w:rsidRPr="00B038B2">
        <w:rPr>
          <w:sz w:val="24"/>
          <w:szCs w:val="24"/>
        </w:rPr>
        <w:t>cbm</w:t>
      </w:r>
      <w:proofErr w:type="spellEnd"/>
      <w:r w:rsidRPr="00B038B2">
        <w:rPr>
          <w:sz w:val="24"/>
          <w:szCs w:val="24"/>
        </w:rPr>
        <w:t xml:space="preserve"> rate. 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  <w:r w:rsidRPr="00B038B2">
        <w:rPr>
          <w:sz w:val="24"/>
          <w:szCs w:val="24"/>
        </w:rPr>
        <w:t xml:space="preserve">Please </w:t>
      </w:r>
      <w:proofErr w:type="gramStart"/>
      <w:r w:rsidRPr="00B038B2">
        <w:rPr>
          <w:sz w:val="24"/>
          <w:szCs w:val="24"/>
        </w:rPr>
        <w:t>advise</w:t>
      </w:r>
      <w:proofErr w:type="gramEnd"/>
      <w:r w:rsidRPr="00B038B2">
        <w:rPr>
          <w:sz w:val="24"/>
          <w:szCs w:val="24"/>
        </w:rPr>
        <w:t>.</w:t>
      </w:r>
    </w:p>
    <w:p w:rsidR="000204F7" w:rsidRPr="00B038B2" w:rsidRDefault="000204F7" w:rsidP="000204F7">
      <w:pPr>
        <w:pStyle w:val="ListParagraph"/>
        <w:rPr>
          <w:sz w:val="24"/>
          <w:szCs w:val="24"/>
        </w:rPr>
      </w:pPr>
    </w:p>
    <w:p w:rsidR="000204F7" w:rsidRPr="00B038B2" w:rsidRDefault="000204F7" w:rsidP="000204F7">
      <w:pPr>
        <w:ind w:left="720"/>
        <w:rPr>
          <w:sz w:val="24"/>
          <w:szCs w:val="24"/>
        </w:rPr>
      </w:pPr>
      <w:r w:rsidRPr="00B038B2">
        <w:rPr>
          <w:sz w:val="24"/>
          <w:szCs w:val="24"/>
        </w:rPr>
        <w:t xml:space="preserve">A: This will be a firm-fixed price contractor with no minimum or maximums established. </w:t>
      </w:r>
    </w:p>
    <w:p w:rsidR="00C91139" w:rsidRPr="00B038B2" w:rsidRDefault="00C91139" w:rsidP="000204F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AE5D6A" w:rsidRPr="00B038B2" w:rsidRDefault="00AE5D6A" w:rsidP="00B73998">
      <w:pPr>
        <w:rPr>
          <w:rFonts w:asciiTheme="minorHAnsi" w:hAnsiTheme="minorHAnsi" w:cstheme="minorHAnsi"/>
          <w:sz w:val="24"/>
          <w:szCs w:val="24"/>
        </w:rPr>
      </w:pPr>
    </w:p>
    <w:sectPr w:rsidR="00AE5D6A" w:rsidRPr="00B0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F7"/>
    <w:multiLevelType w:val="hybridMultilevel"/>
    <w:tmpl w:val="F078E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02DB8"/>
    <w:multiLevelType w:val="hybridMultilevel"/>
    <w:tmpl w:val="3DFA2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97C70"/>
    <w:multiLevelType w:val="hybridMultilevel"/>
    <w:tmpl w:val="EDB28D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963"/>
    <w:multiLevelType w:val="hybridMultilevel"/>
    <w:tmpl w:val="1096B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37E1F"/>
    <w:multiLevelType w:val="hybridMultilevel"/>
    <w:tmpl w:val="7640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2168"/>
    <w:multiLevelType w:val="hybridMultilevel"/>
    <w:tmpl w:val="10500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086AAB"/>
    <w:multiLevelType w:val="hybridMultilevel"/>
    <w:tmpl w:val="2E1AE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010"/>
    <w:multiLevelType w:val="hybridMultilevel"/>
    <w:tmpl w:val="2E70F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F8"/>
    <w:rsid w:val="000204F7"/>
    <w:rsid w:val="0002325D"/>
    <w:rsid w:val="000313A7"/>
    <w:rsid w:val="000C73B7"/>
    <w:rsid w:val="000E1446"/>
    <w:rsid w:val="00123089"/>
    <w:rsid w:val="001A5746"/>
    <w:rsid w:val="001C5604"/>
    <w:rsid w:val="001F497B"/>
    <w:rsid w:val="001F533A"/>
    <w:rsid w:val="00207B7B"/>
    <w:rsid w:val="00237A75"/>
    <w:rsid w:val="00246BBB"/>
    <w:rsid w:val="003224AC"/>
    <w:rsid w:val="00337C0E"/>
    <w:rsid w:val="00387CFD"/>
    <w:rsid w:val="003A1C95"/>
    <w:rsid w:val="00422019"/>
    <w:rsid w:val="00506E6E"/>
    <w:rsid w:val="00564381"/>
    <w:rsid w:val="00581478"/>
    <w:rsid w:val="00601463"/>
    <w:rsid w:val="00674FD2"/>
    <w:rsid w:val="006B01A1"/>
    <w:rsid w:val="006C6FF8"/>
    <w:rsid w:val="006D03A7"/>
    <w:rsid w:val="006F74F6"/>
    <w:rsid w:val="0072211D"/>
    <w:rsid w:val="00737C69"/>
    <w:rsid w:val="0077778C"/>
    <w:rsid w:val="007E1D0B"/>
    <w:rsid w:val="00861F44"/>
    <w:rsid w:val="00873933"/>
    <w:rsid w:val="008D7CC6"/>
    <w:rsid w:val="009604BA"/>
    <w:rsid w:val="00997DA6"/>
    <w:rsid w:val="009E5D81"/>
    <w:rsid w:val="00A523F1"/>
    <w:rsid w:val="00A60CEB"/>
    <w:rsid w:val="00A64CEC"/>
    <w:rsid w:val="00AE5D6A"/>
    <w:rsid w:val="00B038B2"/>
    <w:rsid w:val="00B34E3D"/>
    <w:rsid w:val="00B73998"/>
    <w:rsid w:val="00B7401B"/>
    <w:rsid w:val="00C0250F"/>
    <w:rsid w:val="00C2246D"/>
    <w:rsid w:val="00C34CEF"/>
    <w:rsid w:val="00C91139"/>
    <w:rsid w:val="00CA3E0D"/>
    <w:rsid w:val="00CA748A"/>
    <w:rsid w:val="00CC48BA"/>
    <w:rsid w:val="00D21F3E"/>
    <w:rsid w:val="00D638B9"/>
    <w:rsid w:val="00D84829"/>
    <w:rsid w:val="00ED104B"/>
    <w:rsid w:val="00FC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584D"/>
  <w15:chartTrackingRefBased/>
  <w15:docId w15:val="{87EAE24F-74FB-4653-A707-218F3488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FF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3A7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13A7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0313A7"/>
    <w:pPr>
      <w:ind w:left="720"/>
      <w:contextualSpacing/>
    </w:pPr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rsid w:val="00D638B9"/>
    <w:pPr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38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638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A7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Iskasari, Desi (Jakarta)</dc:creator>
  <cp:keywords/>
  <dc:description/>
  <cp:lastModifiedBy>Iskasari, Desi (Jakarta)</cp:lastModifiedBy>
  <cp:revision>3</cp:revision>
  <cp:lastPrinted>2018-07-23T07:58:00Z</cp:lastPrinted>
  <dcterms:created xsi:type="dcterms:W3CDTF">2018-08-08T08:54:00Z</dcterms:created>
  <dcterms:modified xsi:type="dcterms:W3CDTF">2018-08-08T08:54:00Z</dcterms:modified>
</cp:coreProperties>
</file>