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F3" w:rsidRPr="00877AD1" w:rsidRDefault="00877AD1" w:rsidP="00877AD1">
      <w:pPr>
        <w:tabs>
          <w:tab w:val="left" w:pos="4710"/>
        </w:tabs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877AD1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C64272" w:rsidRDefault="00D43DF3" w:rsidP="00D43DF3">
      <w:pPr>
        <w:tabs>
          <w:tab w:val="left" w:pos="316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Default="00D43DF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C64272" w:rsidRDefault="00982275" w:rsidP="0098227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U.S. Consulate in Ciudad Juarez Chihuahua</w:t>
      </w:r>
      <w:r w:rsidR="00C64272">
        <w:rPr>
          <w:rFonts w:ascii="Times New Roman" w:hAnsi="Times New Roman" w:cs="Times New Roman"/>
          <w:noProof/>
          <w:sz w:val="24"/>
          <w:szCs w:val="24"/>
        </w:rPr>
        <w:t>, Mexico is req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C64272">
        <w:rPr>
          <w:rFonts w:ascii="Times New Roman" w:hAnsi="Times New Roman" w:cs="Times New Roman"/>
          <w:noProof/>
          <w:sz w:val="24"/>
          <w:szCs w:val="24"/>
        </w:rPr>
        <w:t>e</w:t>
      </w:r>
      <w:r w:rsidR="00713309">
        <w:rPr>
          <w:rFonts w:ascii="Times New Roman" w:hAnsi="Times New Roman" w:cs="Times New Roman"/>
          <w:noProof/>
          <w:sz w:val="24"/>
          <w:szCs w:val="24"/>
        </w:rPr>
        <w:t>stin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="00D43DF3">
        <w:rPr>
          <w:rFonts w:ascii="Times New Roman" w:hAnsi="Times New Roman" w:cs="Times New Roman"/>
          <w:noProof/>
          <w:sz w:val="24"/>
          <w:szCs w:val="24"/>
        </w:rPr>
        <w:t xml:space="preserve"> quotes for </w:t>
      </w:r>
      <w:r w:rsidR="00877AD1">
        <w:rPr>
          <w:rFonts w:ascii="Times New Roman" w:hAnsi="Times New Roman" w:cs="Times New Roman"/>
          <w:bCs/>
          <w:iCs/>
          <w:sz w:val="24"/>
          <w:szCs w:val="24"/>
        </w:rPr>
        <w:t>domestic appliances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as per product specifications below.</w:t>
      </w:r>
      <w:r w:rsidR="00E958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4272">
        <w:rPr>
          <w:rFonts w:ascii="Times New Roman" w:hAnsi="Times New Roman" w:cs="Times New Roman"/>
          <w:noProof/>
          <w:sz w:val="24"/>
          <w:szCs w:val="24"/>
        </w:rPr>
        <w:t>Please send a</w:t>
      </w:r>
      <w:r w:rsidR="00BB63B3">
        <w:rPr>
          <w:rFonts w:ascii="Times New Roman" w:hAnsi="Times New Roman" w:cs="Times New Roman"/>
          <w:noProof/>
          <w:sz w:val="24"/>
          <w:szCs w:val="24"/>
        </w:rPr>
        <w:t>ll y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our quotes </w:t>
      </w:r>
      <w:r w:rsidR="00864AF9">
        <w:rPr>
          <w:rFonts w:ascii="Times New Roman" w:hAnsi="Times New Roman" w:cs="Times New Roman"/>
          <w:noProof/>
          <w:sz w:val="24"/>
          <w:szCs w:val="24"/>
        </w:rPr>
        <w:t xml:space="preserve">in excel format </w:t>
      </w:r>
      <w:r w:rsidR="00BC6F31">
        <w:rPr>
          <w:rFonts w:ascii="Times New Roman" w:hAnsi="Times New Roman" w:cs="Times New Roman"/>
          <w:noProof/>
          <w:sz w:val="24"/>
          <w:szCs w:val="24"/>
        </w:rPr>
        <w:t>no later than June 28</w:t>
      </w:r>
      <w:r w:rsidR="00BC6F31" w:rsidRPr="00BC6F31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BC6F31">
        <w:rPr>
          <w:rFonts w:ascii="Times New Roman" w:hAnsi="Times New Roman" w:cs="Times New Roman"/>
          <w:noProof/>
          <w:sz w:val="24"/>
          <w:szCs w:val="24"/>
        </w:rPr>
        <w:t xml:space="preserve"> at 4:00 pm</w:t>
      </w:r>
      <w:r w:rsidR="006B6E8A">
        <w:rPr>
          <w:rFonts w:ascii="Times New Roman" w:hAnsi="Times New Roman" w:cs="Times New Roman"/>
          <w:noProof/>
          <w:sz w:val="24"/>
          <w:szCs w:val="24"/>
        </w:rPr>
        <w:t xml:space="preserve"> (central time) to this email address </w:t>
      </w:r>
      <w:hyperlink r:id="rId8" w:history="1">
        <w:r w:rsidR="00C64272" w:rsidRPr="005431F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 w:rsidR="00BB63B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77AD1">
        <w:rPr>
          <w:rFonts w:ascii="Times New Roman" w:hAnsi="Times New Roman" w:cs="Times New Roman"/>
          <w:noProof/>
          <w:sz w:val="24"/>
          <w:szCs w:val="24"/>
        </w:rPr>
        <w:t>Make sure you include the shipping cost to El Paso</w:t>
      </w:r>
      <w:r w:rsidR="00B42D17">
        <w:rPr>
          <w:rFonts w:ascii="Times New Roman" w:hAnsi="Times New Roman" w:cs="Times New Roman"/>
          <w:noProof/>
          <w:sz w:val="24"/>
          <w:szCs w:val="24"/>
        </w:rPr>
        <w:t>,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Texas or Ciudad Juarez</w:t>
      </w:r>
      <w:r w:rsidR="00B42D17">
        <w:rPr>
          <w:rFonts w:ascii="Times New Roman" w:hAnsi="Times New Roman" w:cs="Times New Roman"/>
          <w:noProof/>
          <w:sz w:val="24"/>
          <w:szCs w:val="24"/>
        </w:rPr>
        <w:t>,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 Chihuahua. </w:t>
      </w:r>
      <w:r w:rsidR="00BB63B3">
        <w:rPr>
          <w:rFonts w:ascii="Times New Roman" w:hAnsi="Times New Roman" w:cs="Times New Roman"/>
          <w:noProof/>
          <w:sz w:val="24"/>
          <w:szCs w:val="24"/>
        </w:rPr>
        <w:t>No quotes will be considered after this date</w:t>
      </w:r>
      <w:r w:rsidR="00F35AEC">
        <w:rPr>
          <w:rFonts w:ascii="Times New Roman" w:hAnsi="Times New Roman" w:cs="Times New Roman"/>
          <w:noProof/>
          <w:sz w:val="24"/>
          <w:szCs w:val="24"/>
        </w:rPr>
        <w:t>.</w:t>
      </w:r>
      <w:r w:rsidR="00BB63B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7AD1">
        <w:rPr>
          <w:rFonts w:ascii="Times New Roman" w:hAnsi="Times New Roman" w:cs="Times New Roman"/>
          <w:noProof/>
          <w:sz w:val="24"/>
          <w:szCs w:val="24"/>
        </w:rPr>
        <w:t>For U.S vendors make sure that you have a current DUNS number and that you are register in SAM otherwise your quote will not be consider</w:t>
      </w:r>
      <w:r w:rsidR="00B42D17">
        <w:rPr>
          <w:rFonts w:ascii="Times New Roman" w:hAnsi="Times New Roman" w:cs="Times New Roman"/>
          <w:noProof/>
          <w:sz w:val="24"/>
          <w:szCs w:val="24"/>
        </w:rPr>
        <w:t>ed</w:t>
      </w:r>
      <w:r w:rsidR="00877AD1">
        <w:rPr>
          <w:rFonts w:ascii="Times New Roman" w:hAnsi="Times New Roman" w:cs="Times New Roman"/>
          <w:noProof/>
          <w:sz w:val="24"/>
          <w:szCs w:val="24"/>
        </w:rPr>
        <w:t xml:space="preserve">. Mexican vendors have to quote in pesos unless they  have a U.S Dollars bank account in Mexico. Please include as much specifications as possible for each item. </w:t>
      </w:r>
    </w:p>
    <w:tbl>
      <w:tblPr>
        <w:tblpPr w:leftFromText="180" w:rightFromText="180" w:vertAnchor="text" w:horzAnchor="margin" w:tblpXSpec="center" w:tblpY="117"/>
        <w:tblW w:w="16856" w:type="dxa"/>
        <w:tblLook w:val="04A0" w:firstRow="1" w:lastRow="0" w:firstColumn="1" w:lastColumn="0" w:noHBand="0" w:noVBand="1"/>
      </w:tblPr>
      <w:tblGrid>
        <w:gridCol w:w="2700"/>
        <w:gridCol w:w="1458"/>
        <w:gridCol w:w="1530"/>
        <w:gridCol w:w="1350"/>
        <w:gridCol w:w="1530"/>
        <w:gridCol w:w="1620"/>
        <w:gridCol w:w="3909"/>
        <w:gridCol w:w="1539"/>
        <w:gridCol w:w="1220"/>
      </w:tblGrid>
      <w:tr w:rsidR="0047432F" w:rsidRPr="00877AD1" w:rsidTr="0047432F">
        <w:trPr>
          <w:trHeight w:val="5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bookmarkStart w:id="1" w:name="RANGE!A3:I13"/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Description</w:t>
            </w:r>
            <w:bookmarkEnd w:id="1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Width (in.)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Depth (in</w:t>
            </w:r>
            <w:r w:rsidR="006C4002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6C4002" w:rsidP="00C24549">
            <w:pPr>
              <w:spacing w:after="0" w:line="240" w:lineRule="auto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 xml:space="preserve">Height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 xml:space="preserve">Style 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4B2EC3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Special Specs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Brand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877AD1">
              <w:rPr>
                <w:rFonts w:ascii="Tahoma" w:eastAsia="Times New Roman" w:hAnsi="Tahoma" w:cs="Tahoma"/>
                <w:b/>
                <w:bCs/>
                <w:color w:val="000000"/>
              </w:rPr>
              <w:t>Quantity</w:t>
            </w:r>
          </w:p>
        </w:tc>
      </w:tr>
      <w:tr w:rsidR="00C24549" w:rsidRPr="00877AD1" w:rsidTr="006C4002">
        <w:trPr>
          <w:trHeight w:val="1013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F00818" w:rsidP="004B2EC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0000"/>
                <w:sz w:val="24"/>
                <w:szCs w:val="24"/>
              </w:rPr>
              <w:t xml:space="preserve">Range Stove </w:t>
            </w:r>
            <w:r w:rsidR="004B2EC3" w:rsidRPr="004B2EC3">
              <w:rPr>
                <w:rFonts w:eastAsia="Times New Roman" w:cs="Tahoma"/>
                <w:color w:val="000000"/>
                <w:sz w:val="24"/>
                <w:szCs w:val="24"/>
              </w:rPr>
              <w:t xml:space="preserve">                 Stainless steel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C609CF" w:rsidP="00C24549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0000"/>
                <w:sz w:val="24"/>
                <w:szCs w:val="24"/>
              </w:rPr>
              <w:t>30</w:t>
            </w:r>
            <w:r w:rsidR="00C24549" w:rsidRPr="004B2EC3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6C4002" w:rsidP="00C24549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25.75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6C4002" w:rsidP="00C24549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47.375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4B2EC3" w:rsidP="00C24549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0000"/>
                <w:sz w:val="24"/>
                <w:szCs w:val="24"/>
              </w:rPr>
              <w:t>4.2cu.ft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C609CF" w:rsidP="00C24549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0000"/>
                <w:sz w:val="24"/>
                <w:szCs w:val="24"/>
              </w:rPr>
              <w:t>Freestanding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6C4002" w:rsidP="004B2EC3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4 to 6 burners.  Digital display control panel on top of cooktop which shows oven temperature. Natural gas feed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ahoma"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1733"/>
                <w:sz w:val="24"/>
                <w:szCs w:val="24"/>
              </w:rPr>
              <w:t>Any that meets specifications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49" w:rsidRPr="006C4002" w:rsidRDefault="00C24549" w:rsidP="006C40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6C400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C24549" w:rsidRPr="00877AD1" w:rsidTr="0047432F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7432F" w:rsidRPr="00877AD1" w:rsidTr="0047432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Width (in.)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 xml:space="preserve">Depth </w:t>
            </w:r>
            <w:r w:rsidR="00F00818"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w/door closed</w:t>
            </w: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>(in.)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F00818" w:rsidP="00C24549">
            <w:pPr>
              <w:spacing w:after="0" w:line="240" w:lineRule="auto"/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1733"/>
                <w:sz w:val="24"/>
                <w:szCs w:val="24"/>
              </w:rPr>
              <w:t xml:space="preserve">           Height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 xml:space="preserve">Style 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24549" w:rsidRPr="004B2EC3" w:rsidRDefault="004B2EC3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Special Specs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ahoma"/>
                <w:b/>
                <w:bCs/>
                <w:color w:val="000000"/>
                <w:sz w:val="24"/>
                <w:szCs w:val="24"/>
              </w:rPr>
              <w:t>Brand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877AD1">
              <w:rPr>
                <w:rFonts w:ascii="Tahoma" w:eastAsia="Times New Roman" w:hAnsi="Tahoma" w:cs="Tahoma"/>
                <w:b/>
                <w:bCs/>
                <w:color w:val="000000"/>
              </w:rPr>
              <w:t>Quantity</w:t>
            </w:r>
          </w:p>
        </w:tc>
      </w:tr>
      <w:tr w:rsidR="00C24549" w:rsidRPr="00877AD1" w:rsidTr="006C4002">
        <w:trPr>
          <w:trHeight w:val="12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6C4002" w:rsidP="004B2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110/120V </w:t>
            </w:r>
            <w:r w:rsidR="00C24549"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Dishwasher </w:t>
            </w:r>
            <w:r w:rsidR="004B2EC3"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C24549" w:rsidRPr="004B2EC3">
              <w:rPr>
                <w:rFonts w:eastAsia="Times New Roman" w:cs="Tahoma"/>
                <w:color w:val="000000"/>
                <w:sz w:val="24"/>
                <w:szCs w:val="24"/>
              </w:rPr>
              <w:t>Stainless Steel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F00818" w:rsidP="00C245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F00818" w:rsidP="00C245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C24549" w:rsidP="00C245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4.3 CU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F00818" w:rsidP="00F008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Built -in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49" w:rsidRPr="004B2EC3" w:rsidRDefault="004B2EC3" w:rsidP="00F0081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Tub &amp; rack material must be stainless s</w:t>
            </w:r>
            <w:r w:rsidR="00F00818"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>teel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Control panel must have illuminated push buttons, and facing front side. </w:t>
            </w:r>
            <w:r w:rsidRPr="004B2EC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NOT KNOB CONTROL</w:t>
            </w:r>
            <w:r w:rsidR="00C24549" w:rsidRPr="004B2E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549" w:rsidRPr="004B2EC3" w:rsidRDefault="00C24549" w:rsidP="00C24549">
            <w:pPr>
              <w:spacing w:after="0" w:line="240" w:lineRule="auto"/>
              <w:rPr>
                <w:rFonts w:eastAsia="Times New Roman" w:cs="Tahoma"/>
                <w:color w:val="001733"/>
                <w:sz w:val="24"/>
                <w:szCs w:val="24"/>
              </w:rPr>
            </w:pPr>
            <w:r w:rsidRPr="004B2EC3">
              <w:rPr>
                <w:rFonts w:eastAsia="Times New Roman" w:cs="Tahoma"/>
                <w:color w:val="001733"/>
                <w:sz w:val="24"/>
                <w:szCs w:val="24"/>
              </w:rPr>
              <w:t>Any that meets specifications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49" w:rsidRPr="006C4002" w:rsidRDefault="00C24549" w:rsidP="006C4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6C400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C24549" w:rsidRPr="00877AD1" w:rsidTr="0047432F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549" w:rsidRPr="00877AD1" w:rsidRDefault="00C24549" w:rsidP="00C245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77AD1" w:rsidRDefault="00877AD1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E95830" w:rsidRDefault="00E95830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Default="00363713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363713" w:rsidRPr="004B2EC3" w:rsidRDefault="00363713" w:rsidP="00982275">
      <w:pPr>
        <w:rPr>
          <w:color w:val="1F497D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*</w:t>
      </w:r>
      <w:r w:rsidR="0047432F" w:rsidRPr="0047432F">
        <w:rPr>
          <w:rFonts w:ascii="Times New Roman" w:hAnsi="Times New Roman"/>
          <w:b/>
          <w:bCs/>
          <w:u w:val="single"/>
        </w:rPr>
        <w:t>ALL</w:t>
      </w:r>
      <w:r w:rsidR="0047432F">
        <w:rPr>
          <w:rFonts w:ascii="Times New Roman" w:hAnsi="Times New Roman"/>
          <w:b/>
          <w:bCs/>
          <w:u w:val="single"/>
        </w:rPr>
        <w:t xml:space="preserve"> </w:t>
      </w:r>
      <w:r w:rsidR="00FC5674">
        <w:rPr>
          <w:rFonts w:ascii="Times New Roman" w:hAnsi="Times New Roman"/>
          <w:b/>
          <w:bCs/>
          <w:u w:val="single"/>
        </w:rPr>
        <w:t xml:space="preserve">UNITS HAVE TO BE </w:t>
      </w:r>
      <w:r w:rsidR="00BC2F36">
        <w:rPr>
          <w:rFonts w:ascii="Times New Roman" w:hAnsi="Times New Roman"/>
          <w:b/>
          <w:bCs/>
          <w:u w:val="single"/>
        </w:rPr>
        <w:t xml:space="preserve">110/120V </w:t>
      </w:r>
      <w:r w:rsidR="00FC5674">
        <w:rPr>
          <w:rFonts w:ascii="Times New Roman" w:hAnsi="Times New Roman"/>
          <w:b/>
          <w:bCs/>
          <w:u w:val="single"/>
        </w:rPr>
        <w:t xml:space="preserve">– DOMESTIC USE, AND </w:t>
      </w:r>
      <w:r w:rsidR="00B42D17">
        <w:rPr>
          <w:rFonts w:ascii="Times New Roman" w:hAnsi="Times New Roman"/>
          <w:b/>
          <w:bCs/>
          <w:u w:val="single"/>
        </w:rPr>
        <w:t>MUST</w:t>
      </w:r>
      <w:r w:rsidR="00BC2F36">
        <w:rPr>
          <w:rFonts w:ascii="Times New Roman" w:hAnsi="Times New Roman"/>
          <w:b/>
          <w:bCs/>
          <w:u w:val="single"/>
        </w:rPr>
        <w:t xml:space="preserve"> BE </w:t>
      </w:r>
      <w:r w:rsidR="00967FC6" w:rsidRPr="0047432F">
        <w:rPr>
          <w:rFonts w:ascii="Times New Roman" w:hAnsi="Times New Roman"/>
          <w:b/>
          <w:bCs/>
          <w:u w:val="single"/>
        </w:rPr>
        <w:t xml:space="preserve">UL </w:t>
      </w:r>
      <w:r w:rsidR="00F00818" w:rsidRPr="0047432F">
        <w:rPr>
          <w:rFonts w:ascii="Times New Roman" w:hAnsi="Times New Roman"/>
          <w:b/>
          <w:bCs/>
          <w:u w:val="single"/>
        </w:rPr>
        <w:t>CERTIFIED *</w:t>
      </w:r>
    </w:p>
    <w:sectPr w:rsidR="00363713" w:rsidRPr="004B2EC3" w:rsidSect="00877AD1">
      <w:head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26" w:rsidRDefault="003E1026" w:rsidP="00C64272">
      <w:pPr>
        <w:spacing w:after="0" w:line="240" w:lineRule="auto"/>
      </w:pPr>
      <w:r>
        <w:separator/>
      </w:r>
    </w:p>
  </w:endnote>
  <w:endnote w:type="continuationSeparator" w:id="0">
    <w:p w:rsidR="003E1026" w:rsidRDefault="003E1026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26" w:rsidRDefault="003E1026" w:rsidP="00C64272">
      <w:pPr>
        <w:spacing w:after="0" w:line="240" w:lineRule="auto"/>
      </w:pPr>
      <w:r>
        <w:separator/>
      </w:r>
    </w:p>
  </w:footnote>
  <w:footnote w:type="continuationSeparator" w:id="0">
    <w:p w:rsidR="003E1026" w:rsidRDefault="003E1026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C14EF" wp14:editId="73CBCA65">
          <wp:simplePos x="0" y="0"/>
          <wp:positionH relativeFrom="column">
            <wp:posOffset>5076825</wp:posOffset>
          </wp:positionH>
          <wp:positionV relativeFrom="paragraph">
            <wp:posOffset>186690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5"/>
    <w:rsid w:val="00096154"/>
    <w:rsid w:val="001208B4"/>
    <w:rsid w:val="001A6555"/>
    <w:rsid w:val="002206F6"/>
    <w:rsid w:val="00237A89"/>
    <w:rsid w:val="002C582C"/>
    <w:rsid w:val="002D0830"/>
    <w:rsid w:val="00311D16"/>
    <w:rsid w:val="00363713"/>
    <w:rsid w:val="003E1026"/>
    <w:rsid w:val="0047432F"/>
    <w:rsid w:val="004941D6"/>
    <w:rsid w:val="004B2EC3"/>
    <w:rsid w:val="005B1488"/>
    <w:rsid w:val="006B6E8A"/>
    <w:rsid w:val="006C4002"/>
    <w:rsid w:val="006F4D08"/>
    <w:rsid w:val="00713309"/>
    <w:rsid w:val="00747EE6"/>
    <w:rsid w:val="007A6343"/>
    <w:rsid w:val="007B2859"/>
    <w:rsid w:val="008073D9"/>
    <w:rsid w:val="008262D0"/>
    <w:rsid w:val="00826338"/>
    <w:rsid w:val="00864AF9"/>
    <w:rsid w:val="00877AD1"/>
    <w:rsid w:val="00967FC6"/>
    <w:rsid w:val="00982275"/>
    <w:rsid w:val="00AE0E0B"/>
    <w:rsid w:val="00AF4D7B"/>
    <w:rsid w:val="00B42D17"/>
    <w:rsid w:val="00BB63B3"/>
    <w:rsid w:val="00BC2F36"/>
    <w:rsid w:val="00BC6F31"/>
    <w:rsid w:val="00C24549"/>
    <w:rsid w:val="00C36DE6"/>
    <w:rsid w:val="00C609CF"/>
    <w:rsid w:val="00C64272"/>
    <w:rsid w:val="00D43DF3"/>
    <w:rsid w:val="00D57BDE"/>
    <w:rsid w:val="00DF05F1"/>
    <w:rsid w:val="00E95830"/>
    <w:rsid w:val="00F00818"/>
    <w:rsid w:val="00F35AEC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483F33-D3F1-472E-ACF8-41A1DE9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asG@st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3675-7ADF-46C9-A015-F91282E7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Munoz, Patricia (Ciudad Juarez)</cp:lastModifiedBy>
  <cp:revision>2</cp:revision>
  <cp:lastPrinted>2015-05-08T19:35:00Z</cp:lastPrinted>
  <dcterms:created xsi:type="dcterms:W3CDTF">2018-06-18T19:55:00Z</dcterms:created>
  <dcterms:modified xsi:type="dcterms:W3CDTF">2018-06-18T19:55:00Z</dcterms:modified>
</cp:coreProperties>
</file>